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43" w:rsidRDefault="00F60D43" w:rsidP="00876396">
      <w:pPr>
        <w:pStyle w:val="NoSpacing"/>
        <w:rPr>
          <w:b/>
          <w:sz w:val="28"/>
        </w:rPr>
      </w:pPr>
      <w:r w:rsidRPr="001A3544">
        <w:rPr>
          <w:b/>
          <w:i/>
          <w:noProof/>
          <w:sz w:val="28"/>
        </w:rPr>
        <w:drawing>
          <wp:anchor distT="0" distB="0" distL="114300" distR="114300" simplePos="0" relativeHeight="251666432" behindDoc="0" locked="0" layoutInCell="1" allowOverlap="1" wp14:anchorId="2D197A24" wp14:editId="456F8B13">
            <wp:simplePos x="0" y="0"/>
            <wp:positionH relativeFrom="column">
              <wp:posOffset>4547235</wp:posOffset>
            </wp:positionH>
            <wp:positionV relativeFrom="paragraph">
              <wp:posOffset>-202565</wp:posOffset>
            </wp:positionV>
            <wp:extent cx="371475" cy="457200"/>
            <wp:effectExtent l="0" t="0" r="9525" b="0"/>
            <wp:wrapSquare wrapText="bothSides"/>
            <wp:docPr id="1" name="Picture 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D43" w:rsidRDefault="00F60D43" w:rsidP="00876396">
      <w:pPr>
        <w:pStyle w:val="NoSpacing"/>
        <w:rPr>
          <w:b/>
          <w:sz w:val="28"/>
        </w:rPr>
      </w:pPr>
    </w:p>
    <w:p w:rsidR="00876396" w:rsidRDefault="00D47F8D" w:rsidP="00876396">
      <w:pPr>
        <w:pStyle w:val="NoSpacing"/>
        <w:rPr>
          <w:b/>
          <w:sz w:val="28"/>
        </w:rPr>
      </w:pPr>
      <w:r w:rsidRPr="001A3544">
        <w:rPr>
          <w:b/>
          <w:i/>
          <w:noProof/>
          <w:sz w:val="28"/>
        </w:rPr>
        <w:drawing>
          <wp:anchor distT="0" distB="0" distL="114300" distR="114300" simplePos="0" relativeHeight="251668480" behindDoc="0" locked="0" layoutInCell="1" allowOverlap="1" wp14:anchorId="152861B5" wp14:editId="49390FA1">
            <wp:simplePos x="0" y="0"/>
            <wp:positionH relativeFrom="page">
              <wp:posOffset>5743575</wp:posOffset>
            </wp:positionH>
            <wp:positionV relativeFrom="page">
              <wp:posOffset>476250</wp:posOffset>
            </wp:positionV>
            <wp:extent cx="1476375" cy="342900"/>
            <wp:effectExtent l="0" t="0" r="9525" b="0"/>
            <wp:wrapNone/>
            <wp:docPr id="2" name="Picture 6" descr="WM Pan Blk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M Pan Blk 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396">
        <w:rPr>
          <w:b/>
          <w:sz w:val="28"/>
        </w:rPr>
        <w:t xml:space="preserve">ESRC DTC </w:t>
      </w:r>
      <w:r w:rsidR="00077B51">
        <w:rPr>
          <w:b/>
          <w:sz w:val="28"/>
        </w:rPr>
        <w:t>Process</w:t>
      </w:r>
      <w:r w:rsidR="00D4393F">
        <w:rPr>
          <w:b/>
          <w:sz w:val="28"/>
        </w:rPr>
        <w:t>es</w:t>
      </w:r>
      <w:r w:rsidR="008E0AB3" w:rsidRPr="001A3544">
        <w:rPr>
          <w:b/>
          <w:sz w:val="28"/>
        </w:rPr>
        <w:t xml:space="preserve"> for</w:t>
      </w:r>
      <w:r w:rsidR="00D4393F">
        <w:rPr>
          <w:b/>
          <w:sz w:val="28"/>
        </w:rPr>
        <w:t xml:space="preserve"> </w:t>
      </w:r>
      <w:r w:rsidR="00876396" w:rsidRPr="00876396">
        <w:rPr>
          <w:b/>
          <w:sz w:val="28"/>
        </w:rPr>
        <w:t>Over</w:t>
      </w:r>
      <w:r w:rsidR="00876396">
        <w:rPr>
          <w:b/>
          <w:sz w:val="28"/>
        </w:rPr>
        <w:t>seas Institutional Visits (OIV)</w:t>
      </w:r>
    </w:p>
    <w:p w:rsidR="00824ACA" w:rsidRDefault="00DF53C7" w:rsidP="00876396">
      <w:pPr>
        <w:pStyle w:val="NoSpacing"/>
        <w:rPr>
          <w:b/>
          <w:sz w:val="28"/>
        </w:rPr>
      </w:pPr>
      <w:r>
        <w:rPr>
          <w:b/>
          <w:sz w:val="28"/>
        </w:rPr>
        <w:t>Guidance for</w:t>
      </w:r>
      <w:r w:rsidR="00824ACA">
        <w:rPr>
          <w:b/>
          <w:sz w:val="28"/>
        </w:rPr>
        <w:t xml:space="preserve"> </w:t>
      </w:r>
      <w:r w:rsidR="0045194F">
        <w:rPr>
          <w:b/>
          <w:sz w:val="28"/>
        </w:rPr>
        <w:t xml:space="preserve">current ESRC DTC </w:t>
      </w:r>
      <w:r w:rsidR="00824ACA">
        <w:rPr>
          <w:b/>
          <w:sz w:val="28"/>
        </w:rPr>
        <w:t>students</w:t>
      </w:r>
    </w:p>
    <w:p w:rsidR="00D80C74" w:rsidRDefault="00D80C74" w:rsidP="001A3544">
      <w:pPr>
        <w:pStyle w:val="NoSpacing"/>
        <w:rPr>
          <w:sz w:val="18"/>
          <w:szCs w:val="28"/>
        </w:rPr>
      </w:pPr>
    </w:p>
    <w:p w:rsidR="00824ACA" w:rsidRPr="0045194F" w:rsidRDefault="00824ACA" w:rsidP="001B1B37">
      <w:pPr>
        <w:pStyle w:val="NoSpacing"/>
        <w:rPr>
          <w:rFonts w:cs="Calibri"/>
          <w:b/>
          <w:color w:val="000000"/>
        </w:rPr>
      </w:pPr>
      <w:r w:rsidRPr="0045194F">
        <w:rPr>
          <w:rFonts w:cs="Calibri"/>
          <w:b/>
          <w:color w:val="000000"/>
        </w:rPr>
        <w:t>Requirements</w:t>
      </w:r>
    </w:p>
    <w:p w:rsidR="00824ACA" w:rsidRDefault="00824ACA" w:rsidP="001B1B37">
      <w:pPr>
        <w:pStyle w:val="NoSpacing"/>
        <w:rPr>
          <w:rFonts w:cs="Calibri"/>
          <w:color w:val="000000"/>
        </w:rPr>
      </w:pPr>
    </w:p>
    <w:p w:rsidR="001B1B37" w:rsidRDefault="001B1B37" w:rsidP="001B1B37">
      <w:pPr>
        <w:pStyle w:val="NoSpacing"/>
      </w:pPr>
      <w:r>
        <w:rPr>
          <w:rFonts w:cs="Calibri"/>
          <w:color w:val="000000"/>
        </w:rPr>
        <w:t xml:space="preserve">OIV funds can be used to </w:t>
      </w:r>
      <w:r w:rsidRPr="00D0416A">
        <w:t xml:space="preserve">provide financial support and time for </w:t>
      </w:r>
      <w:r w:rsidR="00DF53C7">
        <w:t>you</w:t>
      </w:r>
      <w:r w:rsidRPr="00D0416A">
        <w:t xml:space="preserve"> to:</w:t>
      </w:r>
    </w:p>
    <w:p w:rsidR="001B1B37" w:rsidRPr="00F22F11" w:rsidRDefault="001B1B37" w:rsidP="001B1B37">
      <w:pPr>
        <w:pStyle w:val="NoSpacing"/>
        <w:rPr>
          <w:rFonts w:cs="Calibri"/>
          <w:color w:val="000000"/>
        </w:rPr>
      </w:pPr>
    </w:p>
    <w:p w:rsidR="001B1B37" w:rsidRPr="00D0416A" w:rsidRDefault="001B1B37" w:rsidP="001B1B37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</w:pPr>
      <w:r w:rsidRPr="00D0416A">
        <w:t xml:space="preserve">undertake additional specialist research training not available </w:t>
      </w:r>
      <w:r>
        <w:t>i</w:t>
      </w:r>
      <w:r w:rsidRPr="00D0416A">
        <w:t>n the UK;</w:t>
      </w:r>
    </w:p>
    <w:p w:rsidR="001B1B37" w:rsidRPr="00D0416A" w:rsidRDefault="001B1B37" w:rsidP="001B1B37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</w:pPr>
      <w:r w:rsidRPr="00D0416A">
        <w:t>develop language skills;</w:t>
      </w:r>
    </w:p>
    <w:p w:rsidR="001B1B37" w:rsidRPr="00D0416A" w:rsidRDefault="001B1B37" w:rsidP="001B1B37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</w:pPr>
      <w:r w:rsidRPr="00D0416A">
        <w:t>establish research link</w:t>
      </w:r>
      <w:r w:rsidR="00DF53C7">
        <w:t>s that will be beneficial to you</w:t>
      </w:r>
      <w:r w:rsidRPr="00D0416A">
        <w:t>r current or future academic career;</w:t>
      </w:r>
    </w:p>
    <w:p w:rsidR="001B1B37" w:rsidRPr="00D0416A" w:rsidRDefault="001B1B37" w:rsidP="001B1B37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</w:pPr>
      <w:r w:rsidRPr="00D0416A">
        <w:t>disseminate early research findings;</w:t>
      </w:r>
    </w:p>
    <w:p w:rsidR="001B1B37" w:rsidRPr="00D0416A" w:rsidRDefault="001B1B37" w:rsidP="001B1B37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</w:pPr>
      <w:r w:rsidRPr="00D0416A">
        <w:t>attend and participate in seminar</w:t>
      </w:r>
      <w:r w:rsidR="00DF53C7">
        <w:t>s where directly relevant to you</w:t>
      </w:r>
      <w:r w:rsidRPr="00D0416A">
        <w:t>r research.</w:t>
      </w:r>
    </w:p>
    <w:p w:rsidR="001B1B37" w:rsidRDefault="001B1B37" w:rsidP="001B1B37">
      <w:pPr>
        <w:pStyle w:val="NoSpacing"/>
        <w:rPr>
          <w:rFonts w:cs="Calibri"/>
          <w:color w:val="000000"/>
          <w:szCs w:val="24"/>
        </w:rPr>
      </w:pPr>
    </w:p>
    <w:p w:rsidR="001B1B37" w:rsidRDefault="00824ACA" w:rsidP="001B1B37">
      <w:pPr>
        <w:pStyle w:val="NoSpacing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Other</w:t>
      </w:r>
      <w:r w:rsidR="001B1B37">
        <w:rPr>
          <w:rFonts w:cs="Calibri"/>
          <w:color w:val="000000"/>
          <w:szCs w:val="24"/>
        </w:rPr>
        <w:t xml:space="preserve"> terms and conditions attached to the OIV funds are as </w:t>
      </w:r>
      <w:r>
        <w:rPr>
          <w:rFonts w:cs="Calibri"/>
          <w:color w:val="000000"/>
          <w:szCs w:val="24"/>
        </w:rPr>
        <w:t>follows:</w:t>
      </w:r>
    </w:p>
    <w:p w:rsidR="00824ACA" w:rsidRDefault="00824ACA" w:rsidP="00824ACA">
      <w:pPr>
        <w:pStyle w:val="NoSpacing"/>
        <w:rPr>
          <w:rFonts w:cs="Calibri"/>
          <w:color w:val="000000"/>
          <w:szCs w:val="24"/>
        </w:rPr>
      </w:pPr>
    </w:p>
    <w:p w:rsidR="00824ACA" w:rsidRDefault="00824ACA" w:rsidP="00824ACA">
      <w:pPr>
        <w:pStyle w:val="NoSpacing"/>
        <w:numPr>
          <w:ilvl w:val="0"/>
          <w:numId w:val="12"/>
        </w:numPr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Any overseas trips must be concluded three months prior to the end of the funded period of the studentship;</w:t>
      </w:r>
    </w:p>
    <w:p w:rsidR="00824ACA" w:rsidRDefault="00824ACA" w:rsidP="00824ACA">
      <w:pPr>
        <w:pStyle w:val="NoSpacing"/>
        <w:numPr>
          <w:ilvl w:val="0"/>
          <w:numId w:val="12"/>
        </w:numPr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Funding is only available to those in the PhD element of their award;</w:t>
      </w:r>
    </w:p>
    <w:p w:rsidR="00824ACA" w:rsidRDefault="00824ACA" w:rsidP="00824ACA">
      <w:pPr>
        <w:pStyle w:val="NoSpacing"/>
        <w:numPr>
          <w:ilvl w:val="0"/>
          <w:numId w:val="12"/>
        </w:numPr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Only one OIV is permitted during the course of the studentship.</w:t>
      </w:r>
    </w:p>
    <w:p w:rsidR="001B1B37" w:rsidRDefault="001B1B37" w:rsidP="001B1B37">
      <w:pPr>
        <w:pStyle w:val="NoSpacing"/>
        <w:rPr>
          <w:rFonts w:cs="Calibri"/>
          <w:color w:val="000000"/>
          <w:szCs w:val="24"/>
        </w:rPr>
      </w:pPr>
    </w:p>
    <w:p w:rsidR="001B1B37" w:rsidRDefault="001B1B37" w:rsidP="001B1B37">
      <w:pPr>
        <w:pStyle w:val="NoSpacing"/>
        <w:rPr>
          <w:rFonts w:cs="Calibri"/>
          <w:b/>
          <w:color w:val="000000"/>
          <w:szCs w:val="24"/>
        </w:rPr>
      </w:pPr>
      <w:r>
        <w:rPr>
          <w:rFonts w:cs="Calibri"/>
          <w:b/>
          <w:color w:val="000000"/>
          <w:szCs w:val="24"/>
        </w:rPr>
        <w:t xml:space="preserve">Awards available </w:t>
      </w:r>
    </w:p>
    <w:p w:rsidR="001B1B37" w:rsidRDefault="001B1B37" w:rsidP="001B1B37">
      <w:pPr>
        <w:pStyle w:val="NoSpacing"/>
        <w:rPr>
          <w:rFonts w:cs="Calibri"/>
          <w:b/>
          <w:color w:val="000000"/>
          <w:szCs w:val="24"/>
        </w:rPr>
      </w:pPr>
    </w:p>
    <w:p w:rsidR="00824ACA" w:rsidRDefault="00FA3B05" w:rsidP="00824ACA">
      <w:pPr>
        <w:pStyle w:val="NoSpacing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Using</w:t>
      </w:r>
      <w:r w:rsidR="001B1B37">
        <w:rPr>
          <w:rFonts w:cs="Calibri"/>
          <w:color w:val="000000"/>
          <w:szCs w:val="24"/>
        </w:rPr>
        <w:t xml:space="preserve"> the fund</w:t>
      </w:r>
      <w:r>
        <w:rPr>
          <w:rFonts w:cs="Calibri"/>
          <w:color w:val="000000"/>
          <w:szCs w:val="24"/>
        </w:rPr>
        <w:t>s</w:t>
      </w:r>
      <w:r w:rsidR="001B1B37">
        <w:rPr>
          <w:rFonts w:cs="Calibri"/>
          <w:color w:val="000000"/>
          <w:szCs w:val="24"/>
        </w:rPr>
        <w:t xml:space="preserve"> devolved from the ESRC, </w:t>
      </w:r>
      <w:r>
        <w:rPr>
          <w:rFonts w:cs="Calibri"/>
          <w:color w:val="000000"/>
          <w:szCs w:val="24"/>
        </w:rPr>
        <w:t xml:space="preserve">the </w:t>
      </w:r>
      <w:r w:rsidR="001B1B37">
        <w:rPr>
          <w:rFonts w:cs="Calibri"/>
          <w:color w:val="000000"/>
          <w:szCs w:val="24"/>
        </w:rPr>
        <w:t xml:space="preserve">Birmingham </w:t>
      </w:r>
      <w:r>
        <w:rPr>
          <w:rFonts w:cs="Calibri"/>
          <w:color w:val="000000"/>
          <w:szCs w:val="24"/>
        </w:rPr>
        <w:t xml:space="preserve">ESRC </w:t>
      </w:r>
      <w:r w:rsidR="001B1B37">
        <w:rPr>
          <w:rFonts w:cs="Calibri"/>
          <w:color w:val="000000"/>
          <w:szCs w:val="24"/>
        </w:rPr>
        <w:t xml:space="preserve">DTC </w:t>
      </w:r>
      <w:r>
        <w:rPr>
          <w:rFonts w:cs="Calibri"/>
          <w:color w:val="000000"/>
          <w:szCs w:val="24"/>
        </w:rPr>
        <w:t>will make</w:t>
      </w:r>
      <w:r w:rsidR="001B1B37">
        <w:rPr>
          <w:rFonts w:cs="Calibri"/>
          <w:color w:val="000000"/>
          <w:szCs w:val="24"/>
        </w:rPr>
        <w:t xml:space="preserve"> </w:t>
      </w:r>
      <w:r>
        <w:rPr>
          <w:rFonts w:cs="Calibri"/>
          <w:color w:val="000000"/>
          <w:szCs w:val="24"/>
        </w:rPr>
        <w:t>three OIV awards per year to</w:t>
      </w:r>
      <w:r w:rsidR="001B1B37">
        <w:rPr>
          <w:rFonts w:cs="Calibri"/>
          <w:color w:val="000000"/>
          <w:szCs w:val="24"/>
        </w:rPr>
        <w:t xml:space="preserve"> ESRC funded PGRs</w:t>
      </w:r>
      <w:r w:rsidR="00824ACA">
        <w:rPr>
          <w:rFonts w:cs="Calibri"/>
          <w:color w:val="000000"/>
          <w:szCs w:val="24"/>
        </w:rPr>
        <w:t>,</w:t>
      </w:r>
      <w:r w:rsidR="001B1B37">
        <w:rPr>
          <w:rFonts w:cs="Calibri"/>
          <w:color w:val="000000"/>
          <w:szCs w:val="24"/>
        </w:rPr>
        <w:t xml:space="preserve"> </w:t>
      </w:r>
      <w:r w:rsidR="00824ACA">
        <w:rPr>
          <w:rFonts w:cs="Calibri"/>
          <w:color w:val="000000"/>
          <w:szCs w:val="24"/>
        </w:rPr>
        <w:t>which will comprise:</w:t>
      </w:r>
    </w:p>
    <w:p w:rsidR="00824ACA" w:rsidRDefault="00824ACA" w:rsidP="00824ACA">
      <w:pPr>
        <w:pStyle w:val="NoSpacing"/>
        <w:rPr>
          <w:rFonts w:cs="Calibri"/>
          <w:color w:val="000000"/>
          <w:szCs w:val="24"/>
        </w:rPr>
      </w:pPr>
    </w:p>
    <w:p w:rsidR="00824ACA" w:rsidRDefault="00824ACA" w:rsidP="00824ACA">
      <w:pPr>
        <w:pStyle w:val="NoSpacing"/>
        <w:numPr>
          <w:ilvl w:val="0"/>
          <w:numId w:val="11"/>
        </w:numPr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£1,500 grant to support the costs of an overseas visit;</w:t>
      </w:r>
    </w:p>
    <w:p w:rsidR="00824ACA" w:rsidRDefault="00824ACA" w:rsidP="00824ACA">
      <w:pPr>
        <w:pStyle w:val="NoSpacing"/>
        <w:numPr>
          <w:ilvl w:val="0"/>
          <w:numId w:val="11"/>
        </w:numPr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An extension to your research period equal to the length of the vi</w:t>
      </w:r>
      <w:r w:rsidR="003753C9">
        <w:rPr>
          <w:rFonts w:cs="Calibri"/>
          <w:color w:val="000000"/>
          <w:szCs w:val="24"/>
        </w:rPr>
        <w:t>sit up to a maximum of 3 months;</w:t>
      </w:r>
    </w:p>
    <w:p w:rsidR="003753C9" w:rsidRPr="003753C9" w:rsidRDefault="003753C9" w:rsidP="003753C9">
      <w:pPr>
        <w:pStyle w:val="NoSpacing"/>
        <w:numPr>
          <w:ilvl w:val="0"/>
          <w:numId w:val="11"/>
        </w:numPr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A funded extension to your stipend equal to the length of the visit up to a maximum of 3 months.</w:t>
      </w:r>
    </w:p>
    <w:p w:rsidR="00824ACA" w:rsidRDefault="00824ACA" w:rsidP="00824ACA">
      <w:pPr>
        <w:pStyle w:val="NoSpacing"/>
        <w:rPr>
          <w:rFonts w:cs="Calibri"/>
          <w:color w:val="000000"/>
          <w:szCs w:val="24"/>
        </w:rPr>
      </w:pPr>
    </w:p>
    <w:p w:rsidR="00824ACA" w:rsidRPr="005230CA" w:rsidRDefault="00824ACA" w:rsidP="00824ACA">
      <w:pPr>
        <w:pStyle w:val="NoSpacing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The DTC may, at its discretion, make a fourth grant available per year subject to the availability of funds.</w:t>
      </w:r>
    </w:p>
    <w:p w:rsidR="001B1B37" w:rsidRDefault="001B1B37" w:rsidP="001B1B37">
      <w:pPr>
        <w:pStyle w:val="NoSpacing"/>
        <w:rPr>
          <w:rFonts w:cs="Calibri"/>
          <w:color w:val="000000"/>
          <w:szCs w:val="24"/>
        </w:rPr>
      </w:pPr>
    </w:p>
    <w:p w:rsidR="001B1B37" w:rsidRDefault="001B1B37" w:rsidP="001B1B37">
      <w:pPr>
        <w:pStyle w:val="NoSpacing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 xml:space="preserve">The OIV awards will be made on a competitive basis, and applications will be considered twice yearly by the DTC </w:t>
      </w:r>
      <w:r w:rsidR="00777BAE">
        <w:rPr>
          <w:rFonts w:cs="Calibri"/>
          <w:color w:val="000000"/>
          <w:szCs w:val="24"/>
        </w:rPr>
        <w:t>Director</w:t>
      </w:r>
      <w:r>
        <w:rPr>
          <w:rFonts w:cs="Calibri"/>
          <w:color w:val="000000"/>
          <w:szCs w:val="24"/>
        </w:rPr>
        <w:t>.</w:t>
      </w:r>
    </w:p>
    <w:p w:rsidR="001B1B37" w:rsidRDefault="001B1B37" w:rsidP="001B1B37">
      <w:pPr>
        <w:pStyle w:val="NoSpacing"/>
        <w:rPr>
          <w:rFonts w:cs="Calibri"/>
          <w:color w:val="000000"/>
          <w:szCs w:val="24"/>
        </w:rPr>
      </w:pPr>
    </w:p>
    <w:p w:rsidR="001B1B37" w:rsidRPr="00D0416A" w:rsidRDefault="001B1B37" w:rsidP="001B1B37">
      <w:pPr>
        <w:pStyle w:val="NoSpacing"/>
        <w:rPr>
          <w:rFonts w:cs="Calibri"/>
          <w:b/>
          <w:color w:val="000000"/>
          <w:szCs w:val="24"/>
        </w:rPr>
      </w:pPr>
      <w:r>
        <w:rPr>
          <w:rFonts w:cs="Calibri"/>
          <w:b/>
          <w:color w:val="000000"/>
          <w:szCs w:val="24"/>
        </w:rPr>
        <w:t>Process</w:t>
      </w:r>
    </w:p>
    <w:p w:rsidR="001B1B37" w:rsidRDefault="001B1B37" w:rsidP="001B1B37">
      <w:pPr>
        <w:pStyle w:val="NoSpacing"/>
        <w:rPr>
          <w:rFonts w:cs="Calibri"/>
          <w:color w:val="000000"/>
          <w:szCs w:val="24"/>
        </w:rPr>
      </w:pPr>
    </w:p>
    <w:p w:rsidR="00CA1B97" w:rsidRDefault="001B1B37" w:rsidP="00CA1B97">
      <w:pPr>
        <w:pStyle w:val="NoSpacing"/>
      </w:pPr>
      <w:r>
        <w:rPr>
          <w:rFonts w:cs="Calibri"/>
          <w:color w:val="000000"/>
          <w:szCs w:val="24"/>
        </w:rPr>
        <w:t>Applicants should complete the application form detailing the planned visit and the added value that this will generate. The application shou</w:t>
      </w:r>
      <w:r w:rsidR="00FA3B05">
        <w:rPr>
          <w:rFonts w:cs="Calibri"/>
          <w:color w:val="000000"/>
          <w:szCs w:val="24"/>
        </w:rPr>
        <w:t>ld be signed by the</w:t>
      </w:r>
      <w:r>
        <w:rPr>
          <w:rFonts w:cs="Calibri"/>
          <w:color w:val="000000"/>
          <w:szCs w:val="24"/>
        </w:rPr>
        <w:t xml:space="preserve"> supervisor and </w:t>
      </w:r>
      <w:r w:rsidR="00FA3B05">
        <w:rPr>
          <w:rFonts w:cs="Calibri"/>
          <w:color w:val="000000"/>
          <w:szCs w:val="24"/>
        </w:rPr>
        <w:t>submitted</w:t>
      </w:r>
      <w:r>
        <w:rPr>
          <w:rFonts w:cs="Calibri"/>
          <w:color w:val="000000"/>
          <w:szCs w:val="24"/>
        </w:rPr>
        <w:t xml:space="preserve"> by the deadline</w:t>
      </w:r>
      <w:r w:rsidR="00FA3B05">
        <w:rPr>
          <w:rFonts w:cs="Calibri"/>
          <w:color w:val="000000"/>
          <w:szCs w:val="24"/>
        </w:rPr>
        <w:t>s</w:t>
      </w:r>
      <w:r>
        <w:rPr>
          <w:rFonts w:cs="Calibri"/>
          <w:color w:val="000000"/>
          <w:szCs w:val="24"/>
        </w:rPr>
        <w:t xml:space="preserve"> along with a supporting letter or statement from the proposed host.</w:t>
      </w:r>
      <w:r w:rsidR="00FA3B05">
        <w:rPr>
          <w:rFonts w:cs="Calibri"/>
          <w:color w:val="000000"/>
          <w:szCs w:val="24"/>
        </w:rPr>
        <w:t xml:space="preserve"> </w:t>
      </w:r>
      <w:r w:rsidR="00F9261F">
        <w:t>Applications will be considered on a rolling basis.</w:t>
      </w:r>
    </w:p>
    <w:p w:rsidR="00FA3B05" w:rsidRDefault="00FA3B05" w:rsidP="00CA1B97">
      <w:pPr>
        <w:pStyle w:val="NoSpacing"/>
        <w:rPr>
          <w:rFonts w:cs="Calibri"/>
          <w:color w:val="000000"/>
          <w:szCs w:val="24"/>
        </w:rPr>
      </w:pPr>
    </w:p>
    <w:p w:rsidR="001B1B37" w:rsidRDefault="001B1B37" w:rsidP="001B1B37">
      <w:pPr>
        <w:pStyle w:val="NoSpacing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 xml:space="preserve">The DTC will consider all applications and </w:t>
      </w:r>
      <w:r w:rsidR="00FA3B05">
        <w:rPr>
          <w:rFonts w:cs="Calibri"/>
          <w:color w:val="000000"/>
          <w:szCs w:val="24"/>
        </w:rPr>
        <w:t>advise the outcome</w:t>
      </w:r>
      <w:r>
        <w:rPr>
          <w:rFonts w:cs="Calibri"/>
          <w:color w:val="000000"/>
          <w:szCs w:val="24"/>
        </w:rPr>
        <w:t xml:space="preserve"> within a month</w:t>
      </w:r>
      <w:r w:rsidR="00824ACA">
        <w:rPr>
          <w:rFonts w:cs="Calibri"/>
          <w:color w:val="000000"/>
          <w:szCs w:val="24"/>
        </w:rPr>
        <w:t xml:space="preserve"> of the </w:t>
      </w:r>
      <w:r w:rsidR="00F9261F">
        <w:rPr>
          <w:rFonts w:cs="Calibri"/>
          <w:color w:val="000000"/>
          <w:szCs w:val="24"/>
        </w:rPr>
        <w:t>application being submitted</w:t>
      </w:r>
      <w:bookmarkStart w:id="0" w:name="_GoBack"/>
      <w:bookmarkEnd w:id="0"/>
      <w:r>
        <w:rPr>
          <w:rFonts w:cs="Calibri"/>
          <w:color w:val="000000"/>
          <w:szCs w:val="24"/>
        </w:rPr>
        <w:t>.</w:t>
      </w:r>
    </w:p>
    <w:p w:rsidR="00876396" w:rsidRDefault="00876396" w:rsidP="001A3544">
      <w:pPr>
        <w:pStyle w:val="NoSpacing"/>
      </w:pPr>
    </w:p>
    <w:sectPr w:rsidR="00876396" w:rsidSect="00D47F8D">
      <w:headerReference w:type="even" r:id="rId9"/>
      <w:headerReference w:type="default" r:id="rId10"/>
      <w:footerReference w:type="default" r:id="rId11"/>
      <w:pgSz w:w="12240" w:h="15840"/>
      <w:pgMar w:top="993" w:right="1134" w:bottom="993" w:left="1134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BE6" w:rsidRDefault="00B34BE6" w:rsidP="00B06683">
      <w:pPr>
        <w:spacing w:after="0" w:line="240" w:lineRule="auto"/>
      </w:pPr>
      <w:r>
        <w:separator/>
      </w:r>
    </w:p>
  </w:endnote>
  <w:endnote w:type="continuationSeparator" w:id="0">
    <w:p w:rsidR="00B34BE6" w:rsidRDefault="00B34BE6" w:rsidP="00B0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87" w:rsidRDefault="00B33687">
    <w:pPr>
      <w:pStyle w:val="Footer"/>
      <w:jc w:val="center"/>
    </w:pPr>
  </w:p>
  <w:p w:rsidR="00230503" w:rsidRDefault="00230503" w:rsidP="0023050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BE6" w:rsidRDefault="00B34BE6" w:rsidP="00B06683">
      <w:pPr>
        <w:spacing w:after="0" w:line="240" w:lineRule="auto"/>
      </w:pPr>
      <w:r>
        <w:separator/>
      </w:r>
    </w:p>
  </w:footnote>
  <w:footnote w:type="continuationSeparator" w:id="0">
    <w:p w:rsidR="00B34BE6" w:rsidRDefault="00B34BE6" w:rsidP="00B06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87" w:rsidRDefault="00B33687">
    <w:pPr>
      <w:pStyle w:val="Header"/>
    </w:pPr>
  </w:p>
  <w:p w:rsidR="00B33687" w:rsidRDefault="00B33687">
    <w:r>
      <w:t>ESRC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87" w:rsidRDefault="00B33687">
    <w:pPr>
      <w:pStyle w:val="Header"/>
    </w:pPr>
  </w:p>
  <w:p w:rsidR="00B33687" w:rsidRDefault="00B33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44A"/>
    <w:multiLevelType w:val="hybridMultilevel"/>
    <w:tmpl w:val="0810BEF8"/>
    <w:lvl w:ilvl="0" w:tplc="B18A98AC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F7E53"/>
    <w:multiLevelType w:val="hybridMultilevel"/>
    <w:tmpl w:val="0E460A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151011"/>
    <w:multiLevelType w:val="hybridMultilevel"/>
    <w:tmpl w:val="1778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60A4D"/>
    <w:multiLevelType w:val="hybridMultilevel"/>
    <w:tmpl w:val="9C08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A0EDC"/>
    <w:multiLevelType w:val="hybridMultilevel"/>
    <w:tmpl w:val="FCF4B6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533E9B"/>
    <w:multiLevelType w:val="hybridMultilevel"/>
    <w:tmpl w:val="880804F0"/>
    <w:lvl w:ilvl="0" w:tplc="B18A98AC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91150"/>
    <w:multiLevelType w:val="hybridMultilevel"/>
    <w:tmpl w:val="CCE4C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55BD8"/>
    <w:multiLevelType w:val="hybridMultilevel"/>
    <w:tmpl w:val="9428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736F8"/>
    <w:multiLevelType w:val="hybridMultilevel"/>
    <w:tmpl w:val="0B1C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4096B"/>
    <w:multiLevelType w:val="hybridMultilevel"/>
    <w:tmpl w:val="7FFEC9C2"/>
    <w:lvl w:ilvl="0" w:tplc="B18A98AC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03FA1"/>
    <w:multiLevelType w:val="hybridMultilevel"/>
    <w:tmpl w:val="DFF67104"/>
    <w:lvl w:ilvl="0" w:tplc="B18A98AC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E0EB8"/>
    <w:multiLevelType w:val="hybridMultilevel"/>
    <w:tmpl w:val="B336B8BC"/>
    <w:lvl w:ilvl="0" w:tplc="B18A98AC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83"/>
    <w:rsid w:val="0003225A"/>
    <w:rsid w:val="00052B1A"/>
    <w:rsid w:val="00053281"/>
    <w:rsid w:val="000544A8"/>
    <w:rsid w:val="00063618"/>
    <w:rsid w:val="00077B51"/>
    <w:rsid w:val="00084737"/>
    <w:rsid w:val="000C3F78"/>
    <w:rsid w:val="000F3B65"/>
    <w:rsid w:val="0010110C"/>
    <w:rsid w:val="00111CEC"/>
    <w:rsid w:val="001462C6"/>
    <w:rsid w:val="001735EB"/>
    <w:rsid w:val="001A3544"/>
    <w:rsid w:val="001B1B37"/>
    <w:rsid w:val="001F3C81"/>
    <w:rsid w:val="001F444A"/>
    <w:rsid w:val="002245C7"/>
    <w:rsid w:val="00230503"/>
    <w:rsid w:val="002335D2"/>
    <w:rsid w:val="00235909"/>
    <w:rsid w:val="00250E81"/>
    <w:rsid w:val="00253FC1"/>
    <w:rsid w:val="0029163C"/>
    <w:rsid w:val="00297374"/>
    <w:rsid w:val="002A5F16"/>
    <w:rsid w:val="002C5C73"/>
    <w:rsid w:val="002D7F11"/>
    <w:rsid w:val="003154FF"/>
    <w:rsid w:val="00321B9E"/>
    <w:rsid w:val="003279A6"/>
    <w:rsid w:val="003753C9"/>
    <w:rsid w:val="00396E35"/>
    <w:rsid w:val="003C3F65"/>
    <w:rsid w:val="003D1C70"/>
    <w:rsid w:val="003E333C"/>
    <w:rsid w:val="00425E73"/>
    <w:rsid w:val="00445A2E"/>
    <w:rsid w:val="0045194F"/>
    <w:rsid w:val="0047784C"/>
    <w:rsid w:val="00487746"/>
    <w:rsid w:val="00493FEC"/>
    <w:rsid w:val="004A38C4"/>
    <w:rsid w:val="004A4CF5"/>
    <w:rsid w:val="004E73F3"/>
    <w:rsid w:val="005743A0"/>
    <w:rsid w:val="005953D0"/>
    <w:rsid w:val="00650A58"/>
    <w:rsid w:val="006F5DEC"/>
    <w:rsid w:val="007276AB"/>
    <w:rsid w:val="00777BAE"/>
    <w:rsid w:val="007B7213"/>
    <w:rsid w:val="00824ACA"/>
    <w:rsid w:val="00837584"/>
    <w:rsid w:val="00876396"/>
    <w:rsid w:val="00880175"/>
    <w:rsid w:val="0089051A"/>
    <w:rsid w:val="0089088F"/>
    <w:rsid w:val="008A5397"/>
    <w:rsid w:val="008D4B5F"/>
    <w:rsid w:val="008E0AB3"/>
    <w:rsid w:val="008F7489"/>
    <w:rsid w:val="00984773"/>
    <w:rsid w:val="0099345C"/>
    <w:rsid w:val="009C1E46"/>
    <w:rsid w:val="00A37C03"/>
    <w:rsid w:val="00A63D0F"/>
    <w:rsid w:val="00A8701B"/>
    <w:rsid w:val="00AA249E"/>
    <w:rsid w:val="00B06683"/>
    <w:rsid w:val="00B242E4"/>
    <w:rsid w:val="00B33687"/>
    <w:rsid w:val="00B34BE6"/>
    <w:rsid w:val="00B90528"/>
    <w:rsid w:val="00BA65FA"/>
    <w:rsid w:val="00BE13AD"/>
    <w:rsid w:val="00C130DC"/>
    <w:rsid w:val="00CA1B97"/>
    <w:rsid w:val="00CB2020"/>
    <w:rsid w:val="00CB390F"/>
    <w:rsid w:val="00CB4CFD"/>
    <w:rsid w:val="00CC02B6"/>
    <w:rsid w:val="00CF348B"/>
    <w:rsid w:val="00D04CA2"/>
    <w:rsid w:val="00D232EC"/>
    <w:rsid w:val="00D4393F"/>
    <w:rsid w:val="00D47F8D"/>
    <w:rsid w:val="00D644B8"/>
    <w:rsid w:val="00D73AA3"/>
    <w:rsid w:val="00D80C74"/>
    <w:rsid w:val="00D87505"/>
    <w:rsid w:val="00DF53C7"/>
    <w:rsid w:val="00E039A1"/>
    <w:rsid w:val="00E118DB"/>
    <w:rsid w:val="00E33817"/>
    <w:rsid w:val="00E33C6E"/>
    <w:rsid w:val="00E63601"/>
    <w:rsid w:val="00E71515"/>
    <w:rsid w:val="00E730FB"/>
    <w:rsid w:val="00E900E2"/>
    <w:rsid w:val="00E90663"/>
    <w:rsid w:val="00EF2401"/>
    <w:rsid w:val="00F60D43"/>
    <w:rsid w:val="00F9261F"/>
    <w:rsid w:val="00FA3B05"/>
    <w:rsid w:val="00FC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A036881"/>
  <w15:docId w15:val="{EC50C9FB-37E5-436C-AF8A-F8B018D0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06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683"/>
  </w:style>
  <w:style w:type="paragraph" w:styleId="Footer">
    <w:name w:val="footer"/>
    <w:basedOn w:val="Normal"/>
    <w:link w:val="FooterChar"/>
    <w:uiPriority w:val="99"/>
    <w:unhideWhenUsed/>
    <w:rsid w:val="00B06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683"/>
  </w:style>
  <w:style w:type="paragraph" w:customStyle="1" w:styleId="4D3FC6A7267447BDB5359E4E033ED01D">
    <w:name w:val="4D3FC6A7267447BDB5359E4E033ED01D"/>
    <w:rsid w:val="00B06683"/>
  </w:style>
  <w:style w:type="paragraph" w:styleId="ListParagraph">
    <w:name w:val="List Paragraph"/>
    <w:basedOn w:val="Normal"/>
    <w:uiPriority w:val="34"/>
    <w:qFormat/>
    <w:rsid w:val="00CC0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B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4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Mandeville</dc:creator>
  <cp:lastModifiedBy>Ashleigh Skelhorn (Student Services)</cp:lastModifiedBy>
  <cp:revision>2</cp:revision>
  <dcterms:created xsi:type="dcterms:W3CDTF">2020-06-09T14:10:00Z</dcterms:created>
  <dcterms:modified xsi:type="dcterms:W3CDTF">2020-06-09T14:10:00Z</dcterms:modified>
</cp:coreProperties>
</file>