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63984" w14:textId="77777777" w:rsidR="004777EA" w:rsidRPr="004777EA" w:rsidRDefault="004777EA" w:rsidP="004777EA">
      <w:pPr>
        <w:pStyle w:val="Title"/>
        <w:spacing w:line="276" w:lineRule="auto"/>
        <w:jc w:val="center"/>
        <w:rPr>
          <w:rFonts w:asciiTheme="minorHAnsi" w:hAnsiTheme="minorHAnsi" w:cstheme="minorHAnsi"/>
          <w:b/>
          <w:sz w:val="32"/>
          <w:szCs w:val="32"/>
        </w:rPr>
      </w:pPr>
      <w:r w:rsidRPr="004777EA">
        <w:rPr>
          <w:rFonts w:asciiTheme="minorHAnsi" w:hAnsiTheme="minorHAnsi" w:cstheme="minorHAnsi"/>
          <w:b/>
          <w:sz w:val="32"/>
          <w:szCs w:val="32"/>
        </w:rPr>
        <w:t>University of Birmingham</w:t>
      </w:r>
    </w:p>
    <w:p w14:paraId="6A3504C5" w14:textId="1A25AD4E" w:rsidR="006B0702" w:rsidRPr="004777EA" w:rsidRDefault="0051209D" w:rsidP="004777EA">
      <w:pPr>
        <w:pStyle w:val="Title"/>
        <w:spacing w:line="276" w:lineRule="auto"/>
        <w:jc w:val="center"/>
        <w:rPr>
          <w:rFonts w:asciiTheme="minorHAnsi" w:hAnsiTheme="minorHAnsi" w:cstheme="minorHAnsi"/>
          <w:b/>
          <w:sz w:val="32"/>
          <w:szCs w:val="32"/>
        </w:rPr>
      </w:pPr>
      <w:r w:rsidRPr="004777EA">
        <w:rPr>
          <w:rFonts w:asciiTheme="minorHAnsi" w:hAnsiTheme="minorHAnsi" w:cstheme="minorHAnsi"/>
          <w:b/>
          <w:sz w:val="32"/>
          <w:szCs w:val="32"/>
        </w:rPr>
        <w:t>G</w:t>
      </w:r>
      <w:r w:rsidR="006C68C8" w:rsidRPr="004777EA">
        <w:rPr>
          <w:rFonts w:asciiTheme="minorHAnsi" w:hAnsiTheme="minorHAnsi" w:cstheme="minorHAnsi"/>
          <w:b/>
          <w:sz w:val="32"/>
          <w:szCs w:val="32"/>
        </w:rPr>
        <w:t>ender Pay Gap Report 202</w:t>
      </w:r>
      <w:r w:rsidR="009253DE" w:rsidRPr="004777EA">
        <w:rPr>
          <w:rFonts w:asciiTheme="minorHAnsi" w:hAnsiTheme="minorHAnsi" w:cstheme="minorHAnsi"/>
          <w:b/>
          <w:sz w:val="32"/>
          <w:szCs w:val="32"/>
        </w:rPr>
        <w:t>1</w:t>
      </w:r>
    </w:p>
    <w:p w14:paraId="4E04B9BB" w14:textId="77777777" w:rsidR="0051209D" w:rsidRDefault="0051209D" w:rsidP="007C3425">
      <w:pPr>
        <w:pStyle w:val="Heading1"/>
        <w:spacing w:line="276" w:lineRule="auto"/>
        <w:rPr>
          <w:rFonts w:asciiTheme="minorHAnsi" w:hAnsiTheme="minorHAnsi" w:cstheme="minorHAnsi"/>
          <w:color w:val="auto"/>
          <w:sz w:val="28"/>
          <w:szCs w:val="28"/>
        </w:rPr>
      </w:pPr>
    </w:p>
    <w:p w14:paraId="088A6D0B" w14:textId="77777777" w:rsidR="00714BE2" w:rsidRDefault="006D3213" w:rsidP="00714BE2">
      <w:pPr>
        <w:pStyle w:val="Heading1"/>
        <w:spacing w:line="276" w:lineRule="auto"/>
        <w:rPr>
          <w:rFonts w:asciiTheme="minorHAnsi" w:hAnsiTheme="minorHAnsi" w:cstheme="minorHAnsi"/>
          <w:color w:val="auto"/>
          <w:sz w:val="28"/>
          <w:szCs w:val="28"/>
        </w:rPr>
      </w:pPr>
      <w:r w:rsidRPr="00977169">
        <w:rPr>
          <w:rFonts w:asciiTheme="minorHAnsi" w:hAnsiTheme="minorHAnsi" w:cstheme="minorHAnsi"/>
          <w:color w:val="auto"/>
          <w:sz w:val="28"/>
          <w:szCs w:val="28"/>
        </w:rPr>
        <w:t>Fo</w:t>
      </w:r>
      <w:r w:rsidR="00825B26" w:rsidRPr="00977169">
        <w:rPr>
          <w:rFonts w:asciiTheme="minorHAnsi" w:hAnsiTheme="minorHAnsi" w:cstheme="minorHAnsi"/>
          <w:color w:val="auto"/>
          <w:sz w:val="28"/>
          <w:szCs w:val="28"/>
        </w:rPr>
        <w:t>r</w:t>
      </w:r>
      <w:r w:rsidRPr="00977169">
        <w:rPr>
          <w:rFonts w:asciiTheme="minorHAnsi" w:hAnsiTheme="minorHAnsi" w:cstheme="minorHAnsi"/>
          <w:color w:val="auto"/>
          <w:sz w:val="28"/>
          <w:szCs w:val="28"/>
        </w:rPr>
        <w:t>eword</w:t>
      </w:r>
      <w:r w:rsidR="00DD70D8">
        <w:rPr>
          <w:rFonts w:asciiTheme="minorHAnsi" w:hAnsiTheme="minorHAnsi" w:cstheme="minorHAnsi"/>
          <w:color w:val="auto"/>
          <w:sz w:val="28"/>
          <w:szCs w:val="28"/>
        </w:rPr>
        <w:t xml:space="preserve"> </w:t>
      </w:r>
    </w:p>
    <w:p w14:paraId="1848B462" w14:textId="77777777" w:rsidR="00715A28" w:rsidRDefault="00715A28" w:rsidP="00714BE2">
      <w:pPr>
        <w:pStyle w:val="Heading1"/>
        <w:spacing w:line="276" w:lineRule="auto"/>
        <w:rPr>
          <w:rFonts w:asciiTheme="minorHAnsi" w:eastAsiaTheme="minorHAnsi" w:hAnsiTheme="minorHAnsi" w:cstheme="minorHAnsi"/>
          <w:b w:val="0"/>
          <w:color w:val="auto"/>
          <w:sz w:val="24"/>
          <w:szCs w:val="24"/>
        </w:rPr>
      </w:pPr>
      <w:r w:rsidRPr="00715A28">
        <w:rPr>
          <w:rFonts w:asciiTheme="minorHAnsi" w:eastAsiaTheme="minorHAnsi" w:hAnsiTheme="minorHAnsi" w:cstheme="minorHAnsi"/>
          <w:b w:val="0"/>
          <w:color w:val="auto"/>
          <w:sz w:val="24"/>
          <w:szCs w:val="24"/>
        </w:rPr>
        <w:t xml:space="preserve">The University of Birmingham is committed to reducing inequalities and creating an environment in which everyone in our diverse community can thrive, unlock potential and develop. </w:t>
      </w:r>
    </w:p>
    <w:p w14:paraId="0F6BD368" w14:textId="77777777" w:rsidR="00715A28" w:rsidRDefault="00715A28" w:rsidP="00714BE2">
      <w:pPr>
        <w:pStyle w:val="Heading1"/>
        <w:spacing w:line="276" w:lineRule="auto"/>
        <w:rPr>
          <w:rFonts w:asciiTheme="minorHAnsi" w:eastAsiaTheme="minorHAnsi" w:hAnsiTheme="minorHAnsi" w:cstheme="minorHAnsi"/>
          <w:b w:val="0"/>
          <w:color w:val="auto"/>
          <w:sz w:val="24"/>
          <w:szCs w:val="24"/>
        </w:rPr>
      </w:pPr>
      <w:r w:rsidRPr="00715A28">
        <w:rPr>
          <w:rFonts w:asciiTheme="minorHAnsi" w:eastAsiaTheme="minorHAnsi" w:hAnsiTheme="minorHAnsi" w:cstheme="minorHAnsi"/>
          <w:b w:val="0"/>
          <w:color w:val="auto"/>
          <w:sz w:val="24"/>
          <w:szCs w:val="24"/>
        </w:rPr>
        <w:t xml:space="preserve">Since we first reported on our gender pay gap data in 2017, our proportion of female professors has increased from 24.6% to 28.5% and female academic staff in the grade immediately below stands at 38%, creating a sustainable career pipeline to professor. The data for 2021 show that both our mean and median pay gap is narrowing. </w:t>
      </w:r>
    </w:p>
    <w:p w14:paraId="4A0D6C60" w14:textId="77777777" w:rsidR="00715A28" w:rsidRDefault="00715A28" w:rsidP="00714BE2">
      <w:pPr>
        <w:pStyle w:val="Heading1"/>
        <w:spacing w:line="276" w:lineRule="auto"/>
        <w:rPr>
          <w:rFonts w:asciiTheme="minorHAnsi" w:eastAsiaTheme="minorHAnsi" w:hAnsiTheme="minorHAnsi" w:cstheme="minorHAnsi"/>
          <w:b w:val="0"/>
          <w:color w:val="auto"/>
          <w:sz w:val="24"/>
          <w:szCs w:val="24"/>
        </w:rPr>
      </w:pPr>
      <w:r w:rsidRPr="00715A28">
        <w:rPr>
          <w:rFonts w:asciiTheme="minorHAnsi" w:eastAsiaTheme="minorHAnsi" w:hAnsiTheme="minorHAnsi" w:cstheme="minorHAnsi"/>
          <w:b w:val="0"/>
          <w:color w:val="auto"/>
          <w:sz w:val="24"/>
          <w:szCs w:val="24"/>
        </w:rPr>
        <w:t xml:space="preserve">Although change is incremental, we are making sustained progress and will continue to take positive action to address our gender pay gap. For example, an extensive review of our family leave arrangements will ensure that our benefits are competitive and sector-leading; Professional Services job descriptions now reflect the diversity of experiences and qualities, and the Birmingham Academic Career Framework has been developed to reflect the increased multiplicity of academic careers and ensure fairness, consistency, and transparency in promotions. </w:t>
      </w:r>
    </w:p>
    <w:p w14:paraId="46763937" w14:textId="3699EC5D" w:rsidR="006C68C8" w:rsidRPr="00714BE2" w:rsidRDefault="00715A28" w:rsidP="00714BE2">
      <w:pPr>
        <w:pStyle w:val="Heading1"/>
        <w:spacing w:line="276" w:lineRule="auto"/>
        <w:rPr>
          <w:rFonts w:asciiTheme="minorHAnsi" w:hAnsiTheme="minorHAnsi" w:cstheme="minorHAnsi"/>
          <w:b w:val="0"/>
          <w:sz w:val="24"/>
        </w:rPr>
      </w:pPr>
      <w:r w:rsidRPr="00715A28">
        <w:rPr>
          <w:rFonts w:asciiTheme="minorHAnsi" w:eastAsiaTheme="minorHAnsi" w:hAnsiTheme="minorHAnsi" w:cstheme="minorHAnsi"/>
          <w:b w:val="0"/>
          <w:color w:val="auto"/>
          <w:sz w:val="24"/>
          <w:szCs w:val="24"/>
        </w:rPr>
        <w:t>There remains much to do, but we remain determined to implement and monitor actions to reduce the gap between male and female pay</w:t>
      </w:r>
      <w:r w:rsidR="004C6327" w:rsidRPr="00714BE2">
        <w:rPr>
          <w:rFonts w:asciiTheme="minorHAnsi" w:hAnsiTheme="minorHAnsi" w:cstheme="minorHAnsi"/>
          <w:b w:val="0"/>
          <w:color w:val="auto"/>
          <w:sz w:val="28"/>
          <w:szCs w:val="28"/>
        </w:rPr>
        <w:br/>
      </w:r>
    </w:p>
    <w:p w14:paraId="4F59D354" w14:textId="77777777" w:rsidR="006D3213" w:rsidRPr="007C3425" w:rsidRDefault="006D3213" w:rsidP="007C3425">
      <w:pPr>
        <w:spacing w:line="276" w:lineRule="auto"/>
        <w:rPr>
          <w:rFonts w:asciiTheme="minorHAnsi" w:hAnsiTheme="minorHAnsi" w:cstheme="minorHAnsi"/>
          <w:sz w:val="24"/>
        </w:rPr>
      </w:pPr>
    </w:p>
    <w:p w14:paraId="312B0DE3" w14:textId="254A0E4A" w:rsidR="004C7ADE" w:rsidRPr="007C3425" w:rsidRDefault="006D3213" w:rsidP="007C3425">
      <w:pPr>
        <w:spacing w:line="276" w:lineRule="auto"/>
        <w:rPr>
          <w:rFonts w:asciiTheme="minorHAnsi" w:hAnsiTheme="minorHAnsi" w:cstheme="minorHAnsi"/>
          <w:b/>
          <w:sz w:val="24"/>
        </w:rPr>
      </w:pPr>
      <w:r w:rsidRPr="007C3425">
        <w:rPr>
          <w:rFonts w:asciiTheme="minorHAnsi" w:hAnsiTheme="minorHAnsi" w:cstheme="minorHAnsi"/>
          <w:b/>
          <w:sz w:val="24"/>
        </w:rPr>
        <w:t xml:space="preserve">Professor </w:t>
      </w:r>
      <w:r w:rsidR="00A64598">
        <w:rPr>
          <w:rFonts w:asciiTheme="minorHAnsi" w:hAnsiTheme="minorHAnsi" w:cstheme="minorHAnsi"/>
          <w:b/>
          <w:sz w:val="24"/>
        </w:rPr>
        <w:t>Adam Tickell</w:t>
      </w:r>
      <w:r w:rsidRPr="007C3425">
        <w:rPr>
          <w:rFonts w:asciiTheme="minorHAnsi" w:hAnsiTheme="minorHAnsi" w:cstheme="minorHAnsi"/>
          <w:b/>
          <w:sz w:val="24"/>
        </w:rPr>
        <w:t>, Vice Chancellor and Principal</w:t>
      </w:r>
    </w:p>
    <w:p w14:paraId="504D9AC5" w14:textId="26561B5E" w:rsidR="0051209D" w:rsidRDefault="0051209D">
      <w:pPr>
        <w:rPr>
          <w:rFonts w:asciiTheme="minorHAnsi" w:hAnsiTheme="minorHAnsi" w:cstheme="minorHAnsi"/>
          <w:b/>
          <w:sz w:val="24"/>
        </w:rPr>
      </w:pPr>
      <w:r>
        <w:rPr>
          <w:rFonts w:asciiTheme="minorHAnsi" w:hAnsiTheme="minorHAnsi" w:cstheme="minorHAnsi"/>
          <w:b/>
          <w:sz w:val="24"/>
        </w:rPr>
        <w:br w:type="page"/>
      </w:r>
    </w:p>
    <w:p w14:paraId="68700BCB" w14:textId="47030023" w:rsidR="00825B26" w:rsidRPr="00977169" w:rsidRDefault="00825B26" w:rsidP="007C3425">
      <w:pPr>
        <w:pStyle w:val="Heading1"/>
        <w:spacing w:line="276" w:lineRule="auto"/>
        <w:rPr>
          <w:rFonts w:asciiTheme="minorHAnsi" w:hAnsiTheme="minorHAnsi" w:cstheme="minorHAnsi"/>
          <w:color w:val="auto"/>
          <w:sz w:val="28"/>
          <w:szCs w:val="28"/>
        </w:rPr>
      </w:pPr>
      <w:r w:rsidRPr="00977169">
        <w:rPr>
          <w:rFonts w:asciiTheme="minorHAnsi" w:hAnsiTheme="minorHAnsi" w:cstheme="minorHAnsi"/>
          <w:color w:val="auto"/>
          <w:sz w:val="28"/>
          <w:szCs w:val="28"/>
        </w:rPr>
        <w:lastRenderedPageBreak/>
        <w:t>Introduction</w:t>
      </w:r>
    </w:p>
    <w:p w14:paraId="59292152" w14:textId="77777777" w:rsidR="00825B26" w:rsidRPr="007C3425" w:rsidRDefault="00825B26" w:rsidP="007C3425">
      <w:pPr>
        <w:spacing w:line="276" w:lineRule="auto"/>
        <w:rPr>
          <w:rFonts w:asciiTheme="minorHAnsi" w:hAnsiTheme="minorHAnsi" w:cstheme="minorHAnsi"/>
          <w:sz w:val="24"/>
        </w:rPr>
      </w:pPr>
    </w:p>
    <w:p w14:paraId="2D814855" w14:textId="637C16D6" w:rsidR="00825B26" w:rsidRPr="007C3425" w:rsidRDefault="00825B26" w:rsidP="007C3425">
      <w:pPr>
        <w:spacing w:line="276" w:lineRule="auto"/>
        <w:rPr>
          <w:rFonts w:asciiTheme="minorHAnsi" w:hAnsiTheme="minorHAnsi" w:cstheme="minorHAnsi"/>
          <w:sz w:val="24"/>
        </w:rPr>
      </w:pPr>
      <w:r w:rsidRPr="007C3425">
        <w:rPr>
          <w:rFonts w:asciiTheme="minorHAnsi" w:hAnsiTheme="minorHAnsi" w:cstheme="minorHAnsi"/>
          <w:sz w:val="24"/>
        </w:rPr>
        <w:t xml:space="preserve">This report provides information on the </w:t>
      </w:r>
      <w:r w:rsidR="00662FBC" w:rsidRPr="007C3425">
        <w:rPr>
          <w:rFonts w:asciiTheme="minorHAnsi" w:hAnsiTheme="minorHAnsi" w:cstheme="minorHAnsi"/>
          <w:sz w:val="24"/>
        </w:rPr>
        <w:t xml:space="preserve">University of Birmingham’s gender pay gap </w:t>
      </w:r>
      <w:r w:rsidR="009751F3">
        <w:rPr>
          <w:rFonts w:asciiTheme="minorHAnsi" w:hAnsiTheme="minorHAnsi" w:cstheme="minorHAnsi"/>
          <w:sz w:val="24"/>
        </w:rPr>
        <w:t>on 31</w:t>
      </w:r>
      <w:r w:rsidR="009C11C7">
        <w:rPr>
          <w:rFonts w:asciiTheme="minorHAnsi" w:hAnsiTheme="minorHAnsi" w:cstheme="minorHAnsi"/>
          <w:sz w:val="24"/>
          <w:vertAlign w:val="superscript"/>
        </w:rPr>
        <w:t xml:space="preserve"> </w:t>
      </w:r>
      <w:r w:rsidR="009751F3">
        <w:rPr>
          <w:rFonts w:asciiTheme="minorHAnsi" w:hAnsiTheme="minorHAnsi" w:cstheme="minorHAnsi"/>
          <w:sz w:val="24"/>
        </w:rPr>
        <w:t xml:space="preserve">March </w:t>
      </w:r>
      <w:r w:rsidR="00662FBC" w:rsidRPr="007C3425">
        <w:rPr>
          <w:rFonts w:asciiTheme="minorHAnsi" w:hAnsiTheme="minorHAnsi" w:cstheme="minorHAnsi"/>
          <w:sz w:val="24"/>
        </w:rPr>
        <w:t>2021,</w:t>
      </w:r>
      <w:r w:rsidRPr="007C3425">
        <w:rPr>
          <w:rFonts w:asciiTheme="minorHAnsi" w:hAnsiTheme="minorHAnsi" w:cstheme="minorHAnsi"/>
          <w:sz w:val="24"/>
        </w:rPr>
        <w:t xml:space="preserve"> as required </w:t>
      </w:r>
      <w:r w:rsidR="009751F3">
        <w:rPr>
          <w:rFonts w:asciiTheme="minorHAnsi" w:hAnsiTheme="minorHAnsi" w:cstheme="minorHAnsi"/>
          <w:sz w:val="24"/>
        </w:rPr>
        <w:t>under</w:t>
      </w:r>
      <w:r w:rsidRPr="007C3425">
        <w:rPr>
          <w:rFonts w:asciiTheme="minorHAnsi" w:hAnsiTheme="minorHAnsi" w:cstheme="minorHAnsi"/>
          <w:sz w:val="24"/>
        </w:rPr>
        <w:t xml:space="preserve"> the Equality Act 2010 (Gender Pay Gap Information) Regulations 2017. </w:t>
      </w:r>
    </w:p>
    <w:p w14:paraId="25768A09" w14:textId="4F9A48F8" w:rsidR="00C00082" w:rsidRPr="007C3425" w:rsidRDefault="00C00082" w:rsidP="007C3425">
      <w:pPr>
        <w:spacing w:line="276" w:lineRule="auto"/>
        <w:rPr>
          <w:rFonts w:asciiTheme="minorHAnsi" w:hAnsiTheme="minorHAnsi" w:cstheme="minorHAnsi"/>
          <w:sz w:val="24"/>
        </w:rPr>
      </w:pPr>
    </w:p>
    <w:p w14:paraId="5678045F" w14:textId="0CA39A4C" w:rsidR="00C00082" w:rsidRDefault="00AF2CBA" w:rsidP="007C3425">
      <w:pPr>
        <w:spacing w:line="276" w:lineRule="auto"/>
        <w:rPr>
          <w:rFonts w:asciiTheme="minorHAnsi" w:hAnsiTheme="minorHAnsi" w:cstheme="minorHAnsi"/>
          <w:sz w:val="24"/>
        </w:rPr>
      </w:pPr>
      <w:r w:rsidRPr="007C3425">
        <w:rPr>
          <w:rFonts w:asciiTheme="minorHAnsi" w:hAnsiTheme="minorHAnsi" w:cstheme="minorHAnsi"/>
          <w:sz w:val="24"/>
        </w:rPr>
        <w:t>Copies of this report and our Gender Pay Gap reports from 201</w:t>
      </w:r>
      <w:r w:rsidR="007129B1" w:rsidRPr="007C3425">
        <w:rPr>
          <w:rFonts w:asciiTheme="minorHAnsi" w:hAnsiTheme="minorHAnsi" w:cstheme="minorHAnsi"/>
          <w:sz w:val="24"/>
        </w:rPr>
        <w:t>7</w:t>
      </w:r>
      <w:r w:rsidRPr="007C3425">
        <w:rPr>
          <w:rFonts w:asciiTheme="minorHAnsi" w:hAnsiTheme="minorHAnsi" w:cstheme="minorHAnsi"/>
          <w:sz w:val="24"/>
        </w:rPr>
        <w:t xml:space="preserve"> – 2020 are available at</w:t>
      </w:r>
      <w:r w:rsidR="007C3425" w:rsidRPr="007C3425">
        <w:rPr>
          <w:rFonts w:asciiTheme="minorHAnsi" w:hAnsiTheme="minorHAnsi" w:cstheme="minorHAnsi"/>
          <w:sz w:val="24"/>
        </w:rPr>
        <w:t xml:space="preserve"> </w:t>
      </w:r>
      <w:hyperlink r:id="rId11" w:history="1">
        <w:r w:rsidR="009751F3" w:rsidRPr="00955D58">
          <w:rPr>
            <w:rStyle w:val="Hyperlink"/>
            <w:rFonts w:asciiTheme="minorHAnsi" w:hAnsiTheme="minorHAnsi" w:cstheme="minorHAnsi"/>
            <w:sz w:val="24"/>
          </w:rPr>
          <w:t>https://www.birmingham.ac.uk/university/about/equality/index.aspx</w:t>
        </w:r>
      </w:hyperlink>
    </w:p>
    <w:p w14:paraId="7D073CB3" w14:textId="77777777" w:rsidR="009751F3" w:rsidRPr="007C3425" w:rsidRDefault="009751F3" w:rsidP="007C3425">
      <w:pPr>
        <w:spacing w:line="276" w:lineRule="auto"/>
        <w:rPr>
          <w:rFonts w:asciiTheme="minorHAnsi" w:hAnsiTheme="minorHAnsi" w:cstheme="minorHAnsi"/>
          <w:sz w:val="24"/>
        </w:rPr>
      </w:pPr>
    </w:p>
    <w:p w14:paraId="1C5C0668" w14:textId="14146E76" w:rsidR="007129B1" w:rsidRDefault="009751F3" w:rsidP="007C3425">
      <w:pPr>
        <w:spacing w:line="276" w:lineRule="auto"/>
        <w:rPr>
          <w:rFonts w:asciiTheme="minorHAnsi" w:hAnsiTheme="minorHAnsi" w:cstheme="minorHAnsi"/>
          <w:sz w:val="24"/>
        </w:rPr>
      </w:pPr>
      <w:r>
        <w:rPr>
          <w:rFonts w:asciiTheme="minorHAnsi" w:hAnsiTheme="minorHAnsi" w:cstheme="minorHAnsi"/>
          <w:sz w:val="24"/>
        </w:rPr>
        <w:t>To f</w:t>
      </w:r>
      <w:r w:rsidR="007C3425" w:rsidRPr="007C3425">
        <w:rPr>
          <w:rFonts w:asciiTheme="minorHAnsi" w:hAnsiTheme="minorHAnsi" w:cstheme="minorHAnsi"/>
          <w:sz w:val="24"/>
        </w:rPr>
        <w:t>ind</w:t>
      </w:r>
      <w:r w:rsidR="007129B1" w:rsidRPr="007C3425">
        <w:rPr>
          <w:rFonts w:asciiTheme="minorHAnsi" w:hAnsiTheme="minorHAnsi" w:cstheme="minorHAnsi"/>
          <w:sz w:val="24"/>
        </w:rPr>
        <w:t xml:space="preserve"> out more about the wide range of work being undertaken by the University to address inequalities and improve </w:t>
      </w:r>
      <w:r w:rsidR="007C3425" w:rsidRPr="007C3425">
        <w:rPr>
          <w:rFonts w:asciiTheme="minorHAnsi" w:hAnsiTheme="minorHAnsi" w:cstheme="minorHAnsi"/>
          <w:sz w:val="24"/>
        </w:rPr>
        <w:t>our</w:t>
      </w:r>
      <w:r w:rsidR="007129B1" w:rsidRPr="007C3425">
        <w:rPr>
          <w:rFonts w:asciiTheme="minorHAnsi" w:hAnsiTheme="minorHAnsi" w:cstheme="minorHAnsi"/>
          <w:sz w:val="24"/>
        </w:rPr>
        <w:t xml:space="preserve"> recruitment, retention and progression of</w:t>
      </w:r>
      <w:r w:rsidR="007C3425" w:rsidRPr="007C3425">
        <w:rPr>
          <w:rFonts w:asciiTheme="minorHAnsi" w:hAnsiTheme="minorHAnsi" w:cstheme="minorHAnsi"/>
          <w:sz w:val="24"/>
        </w:rPr>
        <w:t xml:space="preserve"> female staff</w:t>
      </w:r>
      <w:r>
        <w:rPr>
          <w:rFonts w:asciiTheme="minorHAnsi" w:hAnsiTheme="minorHAnsi" w:cstheme="minorHAnsi"/>
          <w:sz w:val="24"/>
        </w:rPr>
        <w:t>, visit</w:t>
      </w:r>
      <w:r w:rsidR="007C3425" w:rsidRPr="007C3425">
        <w:rPr>
          <w:rFonts w:asciiTheme="minorHAnsi" w:hAnsiTheme="minorHAnsi" w:cstheme="minorHAnsi"/>
          <w:sz w:val="24"/>
        </w:rPr>
        <w:t xml:space="preserve"> </w:t>
      </w:r>
      <w:hyperlink r:id="rId12" w:history="1">
        <w:r w:rsidRPr="00955D58">
          <w:rPr>
            <w:rStyle w:val="Hyperlink"/>
            <w:rFonts w:asciiTheme="minorHAnsi" w:hAnsiTheme="minorHAnsi" w:cstheme="minorHAnsi"/>
            <w:sz w:val="24"/>
          </w:rPr>
          <w:t>https://intranet.birmingham.ac.uk/collaboration/equality/index.aspx</w:t>
        </w:r>
      </w:hyperlink>
    </w:p>
    <w:p w14:paraId="6CEE39CB" w14:textId="554CA4A6" w:rsidR="00C00082" w:rsidRPr="007C3425" w:rsidRDefault="00C00082" w:rsidP="007C3425">
      <w:pPr>
        <w:spacing w:line="276" w:lineRule="auto"/>
        <w:rPr>
          <w:rFonts w:asciiTheme="minorHAnsi" w:hAnsiTheme="minorHAnsi" w:cstheme="minorHAnsi"/>
          <w:sz w:val="24"/>
        </w:rPr>
      </w:pPr>
    </w:p>
    <w:p w14:paraId="785562F8" w14:textId="0970A21C" w:rsidR="00C00082" w:rsidRPr="00977169" w:rsidRDefault="00C00082" w:rsidP="007C3425">
      <w:pPr>
        <w:pStyle w:val="Heading1"/>
        <w:spacing w:line="276" w:lineRule="auto"/>
        <w:rPr>
          <w:rFonts w:asciiTheme="minorHAnsi" w:hAnsiTheme="minorHAnsi" w:cstheme="minorHAnsi"/>
          <w:color w:val="auto"/>
          <w:sz w:val="28"/>
          <w:szCs w:val="28"/>
        </w:rPr>
      </w:pPr>
      <w:r w:rsidRPr="00977169">
        <w:rPr>
          <w:rFonts w:asciiTheme="minorHAnsi" w:hAnsiTheme="minorHAnsi" w:cstheme="minorHAnsi"/>
          <w:color w:val="auto"/>
          <w:sz w:val="28"/>
          <w:szCs w:val="28"/>
        </w:rPr>
        <w:t>About Us</w:t>
      </w:r>
      <w:r w:rsidR="00DD70D8">
        <w:rPr>
          <w:rFonts w:asciiTheme="minorHAnsi" w:hAnsiTheme="minorHAnsi" w:cstheme="minorHAnsi"/>
          <w:color w:val="auto"/>
          <w:sz w:val="28"/>
          <w:szCs w:val="28"/>
        </w:rPr>
        <w:t xml:space="preserve"> </w:t>
      </w:r>
    </w:p>
    <w:p w14:paraId="6673DF17" w14:textId="77777777" w:rsidR="00825B26" w:rsidRPr="007C3425" w:rsidRDefault="00825B26" w:rsidP="007C3425">
      <w:pPr>
        <w:spacing w:line="276" w:lineRule="auto"/>
        <w:rPr>
          <w:rFonts w:asciiTheme="minorHAnsi" w:hAnsiTheme="minorHAnsi" w:cstheme="minorHAnsi"/>
          <w:sz w:val="24"/>
        </w:rPr>
      </w:pPr>
    </w:p>
    <w:p w14:paraId="07089FB1" w14:textId="4013D197" w:rsidR="007C3425" w:rsidRPr="00CD404D" w:rsidRDefault="00825B26" w:rsidP="007C3425">
      <w:pPr>
        <w:spacing w:line="276" w:lineRule="auto"/>
        <w:rPr>
          <w:rFonts w:asciiTheme="minorHAnsi" w:hAnsiTheme="minorHAnsi" w:cstheme="minorHAnsi"/>
          <w:sz w:val="24"/>
          <w:highlight w:val="yellow"/>
        </w:rPr>
      </w:pPr>
      <w:r w:rsidRPr="008D6727">
        <w:rPr>
          <w:rFonts w:asciiTheme="minorHAnsi" w:hAnsiTheme="minorHAnsi" w:cstheme="minorHAnsi"/>
          <w:sz w:val="24"/>
        </w:rPr>
        <w:t xml:space="preserve">The University of Birmingham is </w:t>
      </w:r>
      <w:r w:rsidR="008D6727" w:rsidRPr="008D6727">
        <w:rPr>
          <w:rFonts w:asciiTheme="minorHAnsi" w:hAnsiTheme="minorHAnsi" w:cstheme="minorHAnsi"/>
          <w:sz w:val="24"/>
        </w:rPr>
        <w:t xml:space="preserve">a Top 100 </w:t>
      </w:r>
      <w:r w:rsidR="008D6727">
        <w:rPr>
          <w:rFonts w:asciiTheme="minorHAnsi" w:hAnsiTheme="minorHAnsi" w:cstheme="minorHAnsi"/>
          <w:sz w:val="24"/>
        </w:rPr>
        <w:t xml:space="preserve">global </w:t>
      </w:r>
      <w:r w:rsidR="008D6727" w:rsidRPr="008D6727">
        <w:rPr>
          <w:rFonts w:asciiTheme="minorHAnsi" w:hAnsiTheme="minorHAnsi" w:cstheme="minorHAnsi"/>
          <w:sz w:val="24"/>
        </w:rPr>
        <w:t>university (</w:t>
      </w:r>
      <w:r w:rsidR="003279CD">
        <w:rPr>
          <w:rFonts w:asciiTheme="minorHAnsi" w:hAnsiTheme="minorHAnsi" w:cstheme="minorHAnsi"/>
          <w:sz w:val="24"/>
        </w:rPr>
        <w:t>ranked 90</w:t>
      </w:r>
      <w:r w:rsidR="003279CD" w:rsidRPr="003279CD">
        <w:rPr>
          <w:rFonts w:asciiTheme="minorHAnsi" w:hAnsiTheme="minorHAnsi" w:cstheme="minorHAnsi"/>
          <w:sz w:val="24"/>
          <w:vertAlign w:val="superscript"/>
        </w:rPr>
        <w:t>th</w:t>
      </w:r>
      <w:r w:rsidR="003279CD">
        <w:rPr>
          <w:rFonts w:asciiTheme="minorHAnsi" w:hAnsiTheme="minorHAnsi" w:cstheme="minorHAnsi"/>
          <w:sz w:val="24"/>
        </w:rPr>
        <w:t xml:space="preserve"> in the</w:t>
      </w:r>
      <w:r w:rsidR="00EB7C29">
        <w:rPr>
          <w:rFonts w:asciiTheme="minorHAnsi" w:hAnsiTheme="minorHAnsi" w:cstheme="minorHAnsi"/>
          <w:sz w:val="24"/>
        </w:rPr>
        <w:t xml:space="preserve"> </w:t>
      </w:r>
      <w:r w:rsidR="008D6727" w:rsidRPr="008D6727">
        <w:rPr>
          <w:rFonts w:asciiTheme="minorHAnsi" w:hAnsiTheme="minorHAnsi" w:cstheme="minorHAnsi"/>
          <w:sz w:val="24"/>
        </w:rPr>
        <w:t xml:space="preserve">QS World </w:t>
      </w:r>
      <w:r w:rsidR="008D6727" w:rsidRPr="003279CD">
        <w:rPr>
          <w:rFonts w:asciiTheme="minorHAnsi" w:hAnsiTheme="minorHAnsi" w:cstheme="minorHAnsi"/>
          <w:sz w:val="24"/>
        </w:rPr>
        <w:t xml:space="preserve">University Rankings 2022) </w:t>
      </w:r>
      <w:r w:rsidR="009751F3">
        <w:rPr>
          <w:rFonts w:asciiTheme="minorHAnsi" w:hAnsiTheme="minorHAnsi" w:cstheme="minorHAnsi"/>
          <w:sz w:val="24"/>
        </w:rPr>
        <w:t>delivering</w:t>
      </w:r>
      <w:r w:rsidR="008D6727" w:rsidRPr="003279CD">
        <w:rPr>
          <w:rFonts w:asciiTheme="minorHAnsi" w:hAnsiTheme="minorHAnsi" w:cstheme="minorHAnsi"/>
          <w:sz w:val="24"/>
        </w:rPr>
        <w:t xml:space="preserve"> </w:t>
      </w:r>
      <w:r w:rsidR="00645FA6" w:rsidRPr="003279CD">
        <w:rPr>
          <w:rFonts w:asciiTheme="minorHAnsi" w:hAnsiTheme="minorHAnsi" w:cstheme="minorHAnsi"/>
          <w:sz w:val="24"/>
        </w:rPr>
        <w:t>world-class research and outstanding education as our core mission</w:t>
      </w:r>
      <w:r w:rsidR="008D6727" w:rsidRPr="003279CD">
        <w:rPr>
          <w:rFonts w:asciiTheme="minorHAnsi" w:hAnsiTheme="minorHAnsi" w:cstheme="minorHAnsi"/>
          <w:sz w:val="24"/>
        </w:rPr>
        <w:t>.</w:t>
      </w:r>
      <w:r w:rsidR="00CD404D" w:rsidRPr="003279CD">
        <w:rPr>
          <w:rFonts w:asciiTheme="minorHAnsi" w:hAnsiTheme="minorHAnsi" w:cstheme="minorHAnsi"/>
          <w:sz w:val="24"/>
        </w:rPr>
        <w:t xml:space="preserve"> </w:t>
      </w:r>
      <w:r w:rsidR="00CD404D" w:rsidRPr="003279CD">
        <w:rPr>
          <w:rFonts w:asciiTheme="minorHAnsi" w:hAnsiTheme="minorHAnsi" w:cstheme="minorHAnsi"/>
          <w:sz w:val="24"/>
          <w:shd w:val="clear" w:color="auto" w:fill="FFFFFF"/>
        </w:rPr>
        <w:t>O</w:t>
      </w:r>
      <w:r w:rsidR="008D6727" w:rsidRPr="003279CD">
        <w:rPr>
          <w:rFonts w:asciiTheme="minorHAnsi" w:hAnsiTheme="minorHAnsi" w:cstheme="minorHAnsi"/>
          <w:sz w:val="24"/>
          <w:shd w:val="clear" w:color="auto" w:fill="FFFFFF"/>
        </w:rPr>
        <w:t>ur campuses</w:t>
      </w:r>
      <w:r w:rsidR="008D6727">
        <w:rPr>
          <w:rFonts w:asciiTheme="minorHAnsi" w:hAnsiTheme="minorHAnsi" w:cstheme="minorHAnsi"/>
          <w:sz w:val="24"/>
          <w:shd w:val="clear" w:color="auto" w:fill="FFFFFF"/>
        </w:rPr>
        <w:t xml:space="preserve"> in Edgbaston Birmingham and Dubai </w:t>
      </w:r>
      <w:r w:rsidR="00CD404D">
        <w:rPr>
          <w:rFonts w:asciiTheme="minorHAnsi" w:hAnsiTheme="minorHAnsi" w:cstheme="minorHAnsi"/>
          <w:sz w:val="24"/>
          <w:shd w:val="clear" w:color="auto" w:fill="FFFFFF"/>
        </w:rPr>
        <w:t xml:space="preserve">are </w:t>
      </w:r>
      <w:r w:rsidR="00CD404D" w:rsidRPr="007C3425">
        <w:rPr>
          <w:rFonts w:asciiTheme="minorHAnsi" w:hAnsiTheme="minorHAnsi" w:cstheme="minorHAnsi"/>
          <w:sz w:val="24"/>
          <w:shd w:val="clear" w:color="auto" w:fill="FFFFFF"/>
        </w:rPr>
        <w:t>vibrant</w:t>
      </w:r>
      <w:r w:rsidR="00CD404D">
        <w:rPr>
          <w:rFonts w:asciiTheme="minorHAnsi" w:hAnsiTheme="minorHAnsi" w:cstheme="minorHAnsi"/>
          <w:sz w:val="24"/>
          <w:shd w:val="clear" w:color="auto" w:fill="FFFFFF"/>
        </w:rPr>
        <w:t xml:space="preserve">, international </w:t>
      </w:r>
      <w:r w:rsidR="00CD404D" w:rsidRPr="007C3425">
        <w:rPr>
          <w:rFonts w:asciiTheme="minorHAnsi" w:hAnsiTheme="minorHAnsi" w:cstheme="minorHAnsi"/>
          <w:sz w:val="24"/>
          <w:shd w:val="clear" w:color="auto" w:fill="FFFFFF"/>
        </w:rPr>
        <w:t>communit</w:t>
      </w:r>
      <w:r w:rsidR="00CD404D">
        <w:rPr>
          <w:rFonts w:asciiTheme="minorHAnsi" w:hAnsiTheme="minorHAnsi" w:cstheme="minorHAnsi"/>
          <w:sz w:val="24"/>
          <w:shd w:val="clear" w:color="auto" w:fill="FFFFFF"/>
        </w:rPr>
        <w:t>ies</w:t>
      </w:r>
      <w:r w:rsidR="00CD404D" w:rsidRPr="007C3425">
        <w:rPr>
          <w:rFonts w:asciiTheme="minorHAnsi" w:hAnsiTheme="minorHAnsi" w:cstheme="minorHAnsi"/>
          <w:sz w:val="24"/>
          <w:shd w:val="clear" w:color="auto" w:fill="FFFFFF"/>
        </w:rPr>
        <w:t xml:space="preserve"> </w:t>
      </w:r>
      <w:r w:rsidR="00CD404D">
        <w:rPr>
          <w:rFonts w:asciiTheme="minorHAnsi" w:hAnsiTheme="minorHAnsi" w:cstheme="minorHAnsi"/>
          <w:sz w:val="24"/>
          <w:shd w:val="clear" w:color="auto" w:fill="FFFFFF"/>
        </w:rPr>
        <w:t>of over</w:t>
      </w:r>
      <w:r w:rsidR="00CD404D" w:rsidRPr="007C3425">
        <w:rPr>
          <w:rFonts w:asciiTheme="minorHAnsi" w:hAnsiTheme="minorHAnsi" w:cstheme="minorHAnsi"/>
          <w:sz w:val="24"/>
          <w:shd w:val="clear" w:color="auto" w:fill="FFFFFF"/>
        </w:rPr>
        <w:t xml:space="preserve"> 8,000 staff</w:t>
      </w:r>
      <w:r w:rsidR="00CD404D">
        <w:rPr>
          <w:rFonts w:asciiTheme="minorHAnsi" w:hAnsiTheme="minorHAnsi" w:cstheme="minorHAnsi"/>
          <w:sz w:val="24"/>
          <w:shd w:val="clear" w:color="auto" w:fill="FFFFFF"/>
        </w:rPr>
        <w:t xml:space="preserve"> and </w:t>
      </w:r>
      <w:r w:rsidR="00CD404D" w:rsidRPr="007C3425">
        <w:rPr>
          <w:rFonts w:asciiTheme="minorHAnsi" w:hAnsiTheme="minorHAnsi" w:cstheme="minorHAnsi"/>
          <w:sz w:val="24"/>
          <w:shd w:val="clear" w:color="auto" w:fill="FFFFFF"/>
        </w:rPr>
        <w:t>38,000 studen</w:t>
      </w:r>
      <w:r w:rsidR="00CD404D">
        <w:rPr>
          <w:rFonts w:asciiTheme="minorHAnsi" w:hAnsiTheme="minorHAnsi" w:cstheme="minorHAnsi"/>
          <w:sz w:val="24"/>
          <w:shd w:val="clear" w:color="auto" w:fill="FFFFFF"/>
        </w:rPr>
        <w:t>ts from 145</w:t>
      </w:r>
      <w:r w:rsidR="009751F3">
        <w:rPr>
          <w:rFonts w:asciiTheme="minorHAnsi" w:hAnsiTheme="minorHAnsi" w:cstheme="minorHAnsi"/>
          <w:sz w:val="24"/>
          <w:shd w:val="clear" w:color="auto" w:fill="FFFFFF"/>
        </w:rPr>
        <w:t>+</w:t>
      </w:r>
      <w:r w:rsidR="00CD404D">
        <w:rPr>
          <w:rFonts w:asciiTheme="minorHAnsi" w:hAnsiTheme="minorHAnsi" w:cstheme="minorHAnsi"/>
          <w:sz w:val="24"/>
          <w:shd w:val="clear" w:color="auto" w:fill="FFFFFF"/>
        </w:rPr>
        <w:t xml:space="preserve"> countries. </w:t>
      </w:r>
    </w:p>
    <w:p w14:paraId="3EDCBB7F" w14:textId="77777777" w:rsidR="007129B1" w:rsidRPr="007C3425" w:rsidRDefault="007129B1" w:rsidP="007C3425">
      <w:pPr>
        <w:spacing w:line="276" w:lineRule="auto"/>
        <w:rPr>
          <w:rFonts w:asciiTheme="minorHAnsi" w:hAnsiTheme="minorHAnsi" w:cstheme="minorHAnsi"/>
          <w:sz w:val="24"/>
          <w:highlight w:val="yellow"/>
        </w:rPr>
      </w:pPr>
    </w:p>
    <w:p w14:paraId="5B6E63E3" w14:textId="101061CD" w:rsidR="00873604" w:rsidRPr="007C3425" w:rsidRDefault="00744558" w:rsidP="007C3425">
      <w:pPr>
        <w:spacing w:line="276" w:lineRule="auto"/>
        <w:rPr>
          <w:rFonts w:asciiTheme="minorHAnsi" w:hAnsiTheme="minorHAnsi" w:cstheme="minorHAnsi"/>
          <w:sz w:val="24"/>
        </w:rPr>
      </w:pPr>
      <w:r>
        <w:rPr>
          <w:rFonts w:asciiTheme="minorHAnsi" w:hAnsiTheme="minorHAnsi" w:cstheme="minorHAnsi"/>
          <w:sz w:val="24"/>
        </w:rPr>
        <w:t>We r</w:t>
      </w:r>
      <w:r w:rsidR="004E30C2" w:rsidRPr="007C3425">
        <w:rPr>
          <w:rFonts w:asciiTheme="minorHAnsi" w:hAnsiTheme="minorHAnsi" w:cstheme="minorHAnsi"/>
          <w:sz w:val="24"/>
        </w:rPr>
        <w:t xml:space="preserve">ecruit </w:t>
      </w:r>
      <w:r w:rsidR="00937743">
        <w:rPr>
          <w:rFonts w:asciiTheme="minorHAnsi" w:hAnsiTheme="minorHAnsi" w:cstheme="minorHAnsi"/>
          <w:sz w:val="24"/>
        </w:rPr>
        <w:t xml:space="preserve">our </w:t>
      </w:r>
      <w:r w:rsidR="004E30C2" w:rsidRPr="007C3425">
        <w:rPr>
          <w:rFonts w:asciiTheme="minorHAnsi" w:hAnsiTheme="minorHAnsi" w:cstheme="minorHAnsi"/>
          <w:sz w:val="24"/>
        </w:rPr>
        <w:t xml:space="preserve">staff globally, nationally and locally to </w:t>
      </w:r>
      <w:r w:rsidR="00884517">
        <w:rPr>
          <w:rFonts w:asciiTheme="minorHAnsi" w:hAnsiTheme="minorHAnsi" w:cstheme="minorHAnsi"/>
          <w:sz w:val="24"/>
        </w:rPr>
        <w:t xml:space="preserve">a </w:t>
      </w:r>
      <w:r w:rsidR="004E30C2" w:rsidRPr="007C3425">
        <w:rPr>
          <w:rFonts w:asciiTheme="minorHAnsi" w:hAnsiTheme="minorHAnsi" w:cstheme="minorHAnsi"/>
          <w:sz w:val="24"/>
        </w:rPr>
        <w:t>wide range of academic</w:t>
      </w:r>
      <w:r w:rsidR="00D7056D">
        <w:rPr>
          <w:rFonts w:asciiTheme="minorHAnsi" w:hAnsiTheme="minorHAnsi" w:cstheme="minorHAnsi"/>
          <w:sz w:val="24"/>
        </w:rPr>
        <w:t xml:space="preserve"> and </w:t>
      </w:r>
      <w:r w:rsidR="00005A08">
        <w:rPr>
          <w:rFonts w:asciiTheme="minorHAnsi" w:hAnsiTheme="minorHAnsi" w:cstheme="minorHAnsi"/>
          <w:sz w:val="24"/>
        </w:rPr>
        <w:t>P</w:t>
      </w:r>
      <w:r w:rsidR="004E30C2" w:rsidRPr="007C3425">
        <w:rPr>
          <w:rFonts w:asciiTheme="minorHAnsi" w:hAnsiTheme="minorHAnsi" w:cstheme="minorHAnsi"/>
          <w:sz w:val="24"/>
        </w:rPr>
        <w:t xml:space="preserve">rofessional </w:t>
      </w:r>
      <w:r w:rsidR="00005A08">
        <w:rPr>
          <w:rFonts w:asciiTheme="minorHAnsi" w:hAnsiTheme="minorHAnsi" w:cstheme="minorHAnsi"/>
          <w:sz w:val="24"/>
        </w:rPr>
        <w:t>S</w:t>
      </w:r>
      <w:r w:rsidR="00D7056D">
        <w:rPr>
          <w:rFonts w:asciiTheme="minorHAnsi" w:hAnsiTheme="minorHAnsi" w:cstheme="minorHAnsi"/>
          <w:sz w:val="24"/>
        </w:rPr>
        <w:t>ervices</w:t>
      </w:r>
      <w:r w:rsidR="004E30C2" w:rsidRPr="007C3425">
        <w:rPr>
          <w:rFonts w:asciiTheme="minorHAnsi" w:hAnsiTheme="minorHAnsi" w:cstheme="minorHAnsi"/>
          <w:sz w:val="24"/>
        </w:rPr>
        <w:t xml:space="preserve"> roles. </w:t>
      </w:r>
      <w:r>
        <w:rPr>
          <w:rFonts w:asciiTheme="minorHAnsi" w:hAnsiTheme="minorHAnsi" w:cstheme="minorHAnsi"/>
          <w:sz w:val="24"/>
        </w:rPr>
        <w:t>At the time of</w:t>
      </w:r>
      <w:r w:rsidR="00873604" w:rsidRPr="007C3425">
        <w:rPr>
          <w:rFonts w:asciiTheme="minorHAnsi" w:hAnsiTheme="minorHAnsi" w:cstheme="minorHAnsi"/>
          <w:sz w:val="24"/>
        </w:rPr>
        <w:t xml:space="preserve"> the gender pay gap census date </w:t>
      </w:r>
      <w:r w:rsidR="00937743">
        <w:rPr>
          <w:rFonts w:asciiTheme="minorHAnsi" w:hAnsiTheme="minorHAnsi" w:cstheme="minorHAnsi"/>
          <w:sz w:val="24"/>
        </w:rPr>
        <w:t>(</w:t>
      </w:r>
      <w:r w:rsidR="00825B26" w:rsidRPr="007C3425">
        <w:rPr>
          <w:rFonts w:asciiTheme="minorHAnsi" w:hAnsiTheme="minorHAnsi" w:cstheme="minorHAnsi"/>
          <w:sz w:val="24"/>
        </w:rPr>
        <w:t>31 March 202</w:t>
      </w:r>
      <w:r w:rsidR="00AF2CBA" w:rsidRPr="007C3425">
        <w:rPr>
          <w:rFonts w:asciiTheme="minorHAnsi" w:hAnsiTheme="minorHAnsi" w:cstheme="minorHAnsi"/>
          <w:sz w:val="24"/>
        </w:rPr>
        <w:t>1</w:t>
      </w:r>
      <w:r w:rsidR="00937743">
        <w:rPr>
          <w:rFonts w:asciiTheme="minorHAnsi" w:hAnsiTheme="minorHAnsi" w:cstheme="minorHAnsi"/>
          <w:sz w:val="24"/>
        </w:rPr>
        <w:t>)</w:t>
      </w:r>
      <w:r w:rsidR="007C3425" w:rsidRPr="007C3425">
        <w:rPr>
          <w:rFonts w:asciiTheme="minorHAnsi" w:hAnsiTheme="minorHAnsi" w:cstheme="minorHAnsi"/>
          <w:sz w:val="24"/>
        </w:rPr>
        <w:t xml:space="preserve"> </w:t>
      </w:r>
      <w:r w:rsidR="004E30C2" w:rsidRPr="007C3425">
        <w:rPr>
          <w:rFonts w:asciiTheme="minorHAnsi" w:hAnsiTheme="minorHAnsi" w:cstheme="minorHAnsi"/>
          <w:sz w:val="24"/>
        </w:rPr>
        <w:t>the University</w:t>
      </w:r>
      <w:r w:rsidR="00825B26" w:rsidRPr="007C3425">
        <w:rPr>
          <w:rFonts w:asciiTheme="minorHAnsi" w:hAnsiTheme="minorHAnsi" w:cstheme="minorHAnsi"/>
          <w:sz w:val="24"/>
        </w:rPr>
        <w:t xml:space="preserve"> employ</w:t>
      </w:r>
      <w:r w:rsidR="00884517">
        <w:rPr>
          <w:rFonts w:asciiTheme="minorHAnsi" w:hAnsiTheme="minorHAnsi" w:cstheme="minorHAnsi"/>
          <w:sz w:val="24"/>
        </w:rPr>
        <w:t>ed</w:t>
      </w:r>
      <w:r w:rsidR="00825B26" w:rsidRPr="007C3425">
        <w:rPr>
          <w:rFonts w:asciiTheme="minorHAnsi" w:hAnsiTheme="minorHAnsi" w:cstheme="minorHAnsi"/>
          <w:sz w:val="24"/>
        </w:rPr>
        <w:t xml:space="preserve"> 8,</w:t>
      </w:r>
      <w:r w:rsidR="009253DE" w:rsidRPr="007C3425">
        <w:rPr>
          <w:rFonts w:asciiTheme="minorHAnsi" w:hAnsiTheme="minorHAnsi" w:cstheme="minorHAnsi"/>
          <w:sz w:val="24"/>
        </w:rPr>
        <w:t>438</w:t>
      </w:r>
      <w:r w:rsidR="00825B26" w:rsidRPr="007C3425">
        <w:rPr>
          <w:rFonts w:asciiTheme="minorHAnsi" w:hAnsiTheme="minorHAnsi" w:cstheme="minorHAnsi"/>
          <w:sz w:val="24"/>
        </w:rPr>
        <w:t xml:space="preserve"> staff</w:t>
      </w:r>
      <w:r w:rsidRPr="00005A08">
        <w:rPr>
          <w:rFonts w:asciiTheme="minorHAnsi" w:hAnsiTheme="minorHAnsi" w:cstheme="minorHAnsi"/>
          <w:sz w:val="24"/>
        </w:rPr>
        <w:t xml:space="preserve">. </w:t>
      </w:r>
      <w:r w:rsidR="00645FA6" w:rsidRPr="00005A08">
        <w:rPr>
          <w:rFonts w:asciiTheme="minorHAnsi" w:hAnsiTheme="minorHAnsi" w:cstheme="minorHAnsi"/>
          <w:sz w:val="24"/>
        </w:rPr>
        <w:t xml:space="preserve"> </w:t>
      </w:r>
      <w:r w:rsidR="00005A08" w:rsidRPr="00005A08">
        <w:rPr>
          <w:rFonts w:asciiTheme="minorHAnsi" w:hAnsiTheme="minorHAnsi" w:cstheme="minorHAnsi"/>
          <w:sz w:val="24"/>
        </w:rPr>
        <w:t>42</w:t>
      </w:r>
      <w:r w:rsidR="00873604" w:rsidRPr="00005A08">
        <w:rPr>
          <w:rFonts w:asciiTheme="minorHAnsi" w:hAnsiTheme="minorHAnsi" w:cstheme="minorHAnsi"/>
          <w:sz w:val="24"/>
        </w:rPr>
        <w:t xml:space="preserve">% are employed in academic roles and </w:t>
      </w:r>
      <w:r w:rsidR="00005A08" w:rsidRPr="00005A08">
        <w:rPr>
          <w:rFonts w:asciiTheme="minorHAnsi" w:hAnsiTheme="minorHAnsi" w:cstheme="minorHAnsi"/>
          <w:sz w:val="24"/>
        </w:rPr>
        <w:t>58</w:t>
      </w:r>
      <w:r w:rsidR="00873604" w:rsidRPr="00005A08">
        <w:rPr>
          <w:rFonts w:asciiTheme="minorHAnsi" w:hAnsiTheme="minorHAnsi" w:cstheme="minorHAnsi"/>
          <w:sz w:val="24"/>
        </w:rPr>
        <w:t xml:space="preserve">% in </w:t>
      </w:r>
      <w:r w:rsidR="00005A08" w:rsidRPr="00005A08">
        <w:rPr>
          <w:rFonts w:asciiTheme="minorHAnsi" w:hAnsiTheme="minorHAnsi" w:cstheme="minorHAnsi"/>
          <w:sz w:val="24"/>
        </w:rPr>
        <w:t>P</w:t>
      </w:r>
      <w:r w:rsidR="00873604" w:rsidRPr="00005A08">
        <w:rPr>
          <w:rFonts w:asciiTheme="minorHAnsi" w:hAnsiTheme="minorHAnsi" w:cstheme="minorHAnsi"/>
          <w:sz w:val="24"/>
        </w:rPr>
        <w:t xml:space="preserve">rofessional </w:t>
      </w:r>
      <w:r w:rsidR="00005A08" w:rsidRPr="00005A08">
        <w:rPr>
          <w:rFonts w:asciiTheme="minorHAnsi" w:hAnsiTheme="minorHAnsi" w:cstheme="minorHAnsi"/>
          <w:sz w:val="24"/>
        </w:rPr>
        <w:t>S</w:t>
      </w:r>
      <w:r w:rsidR="00645FA6" w:rsidRPr="00005A08">
        <w:rPr>
          <w:rFonts w:asciiTheme="minorHAnsi" w:hAnsiTheme="minorHAnsi" w:cstheme="minorHAnsi"/>
          <w:sz w:val="24"/>
        </w:rPr>
        <w:t>ervices roles</w:t>
      </w:r>
      <w:r w:rsidR="00873604" w:rsidRPr="00005A08">
        <w:rPr>
          <w:rFonts w:asciiTheme="minorHAnsi" w:hAnsiTheme="minorHAnsi" w:cstheme="minorHAnsi"/>
          <w:sz w:val="24"/>
        </w:rPr>
        <w:t xml:space="preserve">. 53% of our </w:t>
      </w:r>
      <w:r w:rsidR="00EB2AAB" w:rsidRPr="00005A08">
        <w:rPr>
          <w:rFonts w:asciiTheme="minorHAnsi" w:hAnsiTheme="minorHAnsi" w:cstheme="minorHAnsi"/>
          <w:sz w:val="24"/>
        </w:rPr>
        <w:t xml:space="preserve">total </w:t>
      </w:r>
      <w:r w:rsidR="00873604" w:rsidRPr="00005A08">
        <w:rPr>
          <w:rFonts w:asciiTheme="minorHAnsi" w:hAnsiTheme="minorHAnsi" w:cstheme="minorHAnsi"/>
          <w:sz w:val="24"/>
        </w:rPr>
        <w:t>staff population is female and 47% male.</w:t>
      </w:r>
      <w:r w:rsidR="00873604" w:rsidRPr="007C3425">
        <w:rPr>
          <w:rFonts w:asciiTheme="minorHAnsi" w:hAnsiTheme="minorHAnsi" w:cstheme="minorHAnsi"/>
          <w:sz w:val="24"/>
        </w:rPr>
        <w:t xml:space="preserve"> </w:t>
      </w:r>
    </w:p>
    <w:p w14:paraId="15490959" w14:textId="77777777" w:rsidR="00873604" w:rsidRPr="007C3425" w:rsidRDefault="00873604" w:rsidP="007C3425">
      <w:pPr>
        <w:spacing w:line="276" w:lineRule="auto"/>
        <w:rPr>
          <w:rFonts w:asciiTheme="minorHAnsi" w:hAnsiTheme="minorHAnsi" w:cstheme="minorHAnsi"/>
          <w:sz w:val="24"/>
        </w:rPr>
      </w:pPr>
    </w:p>
    <w:p w14:paraId="029FB79D" w14:textId="5F849CCF" w:rsidR="00825B26" w:rsidRPr="00645FA6" w:rsidRDefault="00873604" w:rsidP="007C3425">
      <w:pPr>
        <w:spacing w:line="276" w:lineRule="auto"/>
        <w:rPr>
          <w:rFonts w:asciiTheme="minorHAnsi" w:hAnsiTheme="minorHAnsi" w:cstheme="minorHAnsi"/>
          <w:sz w:val="24"/>
        </w:rPr>
      </w:pPr>
      <w:r w:rsidRPr="007C3425">
        <w:rPr>
          <w:rFonts w:asciiTheme="minorHAnsi" w:hAnsiTheme="minorHAnsi" w:cstheme="minorHAnsi"/>
          <w:sz w:val="24"/>
        </w:rPr>
        <w:t xml:space="preserve">Our academic staff are employed </w:t>
      </w:r>
      <w:r w:rsidR="00937743">
        <w:rPr>
          <w:rFonts w:asciiTheme="minorHAnsi" w:hAnsiTheme="minorHAnsi" w:cstheme="minorHAnsi"/>
          <w:sz w:val="24"/>
        </w:rPr>
        <w:t>across</w:t>
      </w:r>
      <w:r w:rsidRPr="007C3425">
        <w:rPr>
          <w:rFonts w:asciiTheme="minorHAnsi" w:hAnsiTheme="minorHAnsi" w:cstheme="minorHAnsi"/>
          <w:sz w:val="24"/>
        </w:rPr>
        <w:t xml:space="preserve"> our </w:t>
      </w:r>
      <w:r w:rsidR="00825B26" w:rsidRPr="007C3425">
        <w:rPr>
          <w:rFonts w:asciiTheme="minorHAnsi" w:hAnsiTheme="minorHAnsi" w:cstheme="minorHAnsi"/>
          <w:sz w:val="24"/>
        </w:rPr>
        <w:t>five Colleges</w:t>
      </w:r>
      <w:r w:rsidR="004E30C2" w:rsidRPr="007C3425">
        <w:rPr>
          <w:rFonts w:asciiTheme="minorHAnsi" w:hAnsiTheme="minorHAnsi" w:cstheme="minorHAnsi"/>
          <w:sz w:val="24"/>
        </w:rPr>
        <w:t xml:space="preserve">: </w:t>
      </w:r>
      <w:r w:rsidRPr="007C3425">
        <w:rPr>
          <w:rFonts w:asciiTheme="minorHAnsi" w:hAnsiTheme="minorHAnsi" w:cstheme="minorHAnsi"/>
          <w:sz w:val="24"/>
        </w:rPr>
        <w:t xml:space="preserve">Arts &amp; Law, Engineering &amp; Physical Sciences, </w:t>
      </w:r>
      <w:r w:rsidR="0008397A" w:rsidRPr="007C3425">
        <w:rPr>
          <w:rFonts w:asciiTheme="minorHAnsi" w:hAnsiTheme="minorHAnsi" w:cstheme="minorHAnsi"/>
          <w:sz w:val="24"/>
        </w:rPr>
        <w:t xml:space="preserve">Life &amp; Environmental Sciences, Medical &amp; Dental Sciences and </w:t>
      </w:r>
      <w:r w:rsidRPr="007C3425">
        <w:rPr>
          <w:rFonts w:asciiTheme="minorHAnsi" w:hAnsiTheme="minorHAnsi" w:cstheme="minorHAnsi"/>
          <w:sz w:val="24"/>
        </w:rPr>
        <w:t>Social Sciences</w:t>
      </w:r>
      <w:r w:rsidR="0008397A" w:rsidRPr="007C3425">
        <w:rPr>
          <w:rFonts w:asciiTheme="minorHAnsi" w:hAnsiTheme="minorHAnsi" w:cstheme="minorHAnsi"/>
          <w:sz w:val="24"/>
        </w:rPr>
        <w:t xml:space="preserve">. Our </w:t>
      </w:r>
      <w:r w:rsidR="00825B26" w:rsidRPr="007C3425">
        <w:rPr>
          <w:rFonts w:asciiTheme="minorHAnsi" w:hAnsiTheme="minorHAnsi" w:cstheme="minorHAnsi"/>
          <w:sz w:val="24"/>
        </w:rPr>
        <w:t xml:space="preserve">academic roles encompass the full academic career pipeline, from post-doctoral researchers </w:t>
      </w:r>
      <w:r w:rsidRPr="007C3425">
        <w:rPr>
          <w:rFonts w:asciiTheme="minorHAnsi" w:hAnsiTheme="minorHAnsi" w:cstheme="minorHAnsi"/>
          <w:sz w:val="24"/>
        </w:rPr>
        <w:t xml:space="preserve">through </w:t>
      </w:r>
      <w:r w:rsidR="00825B26" w:rsidRPr="007C3425">
        <w:rPr>
          <w:rFonts w:asciiTheme="minorHAnsi" w:hAnsiTheme="minorHAnsi" w:cstheme="minorHAnsi"/>
          <w:sz w:val="24"/>
        </w:rPr>
        <w:t>to professors</w:t>
      </w:r>
      <w:r w:rsidRPr="007C3425">
        <w:rPr>
          <w:rFonts w:asciiTheme="minorHAnsi" w:hAnsiTheme="minorHAnsi" w:cstheme="minorHAnsi"/>
          <w:sz w:val="24"/>
        </w:rPr>
        <w:t xml:space="preserve"> undertaking world-leading research</w:t>
      </w:r>
      <w:r w:rsidR="00825B26" w:rsidRPr="007C3425">
        <w:rPr>
          <w:rFonts w:asciiTheme="minorHAnsi" w:hAnsiTheme="minorHAnsi" w:cstheme="minorHAnsi"/>
          <w:sz w:val="24"/>
        </w:rPr>
        <w:t xml:space="preserve">. </w:t>
      </w:r>
      <w:r w:rsidRPr="007C3425">
        <w:rPr>
          <w:rFonts w:asciiTheme="minorHAnsi" w:hAnsiTheme="minorHAnsi" w:cstheme="minorHAnsi"/>
          <w:sz w:val="24"/>
        </w:rPr>
        <w:t xml:space="preserve">We </w:t>
      </w:r>
      <w:r w:rsidR="00937743">
        <w:rPr>
          <w:rFonts w:asciiTheme="minorHAnsi" w:hAnsiTheme="minorHAnsi" w:cstheme="minorHAnsi"/>
          <w:sz w:val="24"/>
        </w:rPr>
        <w:t>offer</w:t>
      </w:r>
      <w:r w:rsidR="00645FA6">
        <w:rPr>
          <w:rFonts w:asciiTheme="minorHAnsi" w:hAnsiTheme="minorHAnsi" w:cstheme="minorHAnsi"/>
          <w:sz w:val="24"/>
        </w:rPr>
        <w:t xml:space="preserve"> a diverse range of</w:t>
      </w:r>
      <w:r w:rsidR="0008397A" w:rsidRPr="007C3425">
        <w:rPr>
          <w:rFonts w:asciiTheme="minorHAnsi" w:hAnsiTheme="minorHAnsi" w:cstheme="minorHAnsi"/>
          <w:sz w:val="24"/>
        </w:rPr>
        <w:t xml:space="preserve"> </w:t>
      </w:r>
      <w:r w:rsidR="00937743">
        <w:rPr>
          <w:rFonts w:asciiTheme="minorHAnsi" w:hAnsiTheme="minorHAnsi" w:cstheme="minorHAnsi"/>
          <w:sz w:val="24"/>
        </w:rPr>
        <w:t>career pathways for</w:t>
      </w:r>
      <w:r w:rsidR="00E93B92">
        <w:rPr>
          <w:rFonts w:asciiTheme="minorHAnsi" w:hAnsiTheme="minorHAnsi" w:cstheme="minorHAnsi"/>
          <w:sz w:val="24"/>
        </w:rPr>
        <w:t xml:space="preserve"> our a</w:t>
      </w:r>
      <w:r w:rsidR="00937743">
        <w:rPr>
          <w:rFonts w:asciiTheme="minorHAnsi" w:hAnsiTheme="minorHAnsi" w:cstheme="minorHAnsi"/>
          <w:sz w:val="24"/>
        </w:rPr>
        <w:t>cademic</w:t>
      </w:r>
      <w:r w:rsidR="00E93B92">
        <w:rPr>
          <w:rFonts w:asciiTheme="minorHAnsi" w:hAnsiTheme="minorHAnsi" w:cstheme="minorHAnsi"/>
          <w:sz w:val="24"/>
        </w:rPr>
        <w:t xml:space="preserve"> </w:t>
      </w:r>
      <w:r w:rsidR="00937743">
        <w:rPr>
          <w:rFonts w:asciiTheme="minorHAnsi" w:hAnsiTheme="minorHAnsi" w:cstheme="minorHAnsi"/>
          <w:sz w:val="24"/>
        </w:rPr>
        <w:t>s</w:t>
      </w:r>
      <w:r w:rsidR="00E93B92">
        <w:rPr>
          <w:rFonts w:asciiTheme="minorHAnsi" w:hAnsiTheme="minorHAnsi" w:cstheme="minorHAnsi"/>
          <w:sz w:val="24"/>
        </w:rPr>
        <w:t>taff</w:t>
      </w:r>
      <w:r w:rsidR="00937743">
        <w:rPr>
          <w:rFonts w:asciiTheme="minorHAnsi" w:hAnsiTheme="minorHAnsi" w:cstheme="minorHAnsi"/>
          <w:sz w:val="24"/>
        </w:rPr>
        <w:t xml:space="preserve">, embracing </w:t>
      </w:r>
      <w:r w:rsidR="00937743" w:rsidRPr="00937743">
        <w:rPr>
          <w:rFonts w:asciiTheme="minorHAnsi" w:hAnsiTheme="minorHAnsi" w:cstheme="minorHAnsi"/>
          <w:sz w:val="24"/>
        </w:rPr>
        <w:t xml:space="preserve">research, </w:t>
      </w:r>
      <w:r w:rsidR="00937743" w:rsidRPr="00005A08">
        <w:rPr>
          <w:rFonts w:asciiTheme="minorHAnsi" w:hAnsiTheme="minorHAnsi" w:cstheme="minorHAnsi"/>
          <w:sz w:val="24"/>
        </w:rPr>
        <w:t xml:space="preserve">education, engagement and impact </w:t>
      </w:r>
      <w:r w:rsidR="004E30C2" w:rsidRPr="00005A08">
        <w:rPr>
          <w:rFonts w:asciiTheme="minorHAnsi" w:hAnsiTheme="minorHAnsi" w:cstheme="minorHAnsi"/>
          <w:sz w:val="24"/>
        </w:rPr>
        <w:t>t</w:t>
      </w:r>
      <w:r w:rsidR="005F7550" w:rsidRPr="00005A08">
        <w:rPr>
          <w:rFonts w:asciiTheme="minorHAnsi" w:hAnsiTheme="minorHAnsi" w:cstheme="minorHAnsi"/>
          <w:sz w:val="24"/>
        </w:rPr>
        <w:t xml:space="preserve">hrough </w:t>
      </w:r>
      <w:r w:rsidR="00937743" w:rsidRPr="00005A08">
        <w:rPr>
          <w:rFonts w:asciiTheme="minorHAnsi" w:hAnsiTheme="minorHAnsi" w:cstheme="minorHAnsi"/>
          <w:sz w:val="24"/>
        </w:rPr>
        <w:t>our</w:t>
      </w:r>
      <w:r w:rsidR="005F7550" w:rsidRPr="00005A08">
        <w:rPr>
          <w:rFonts w:asciiTheme="minorHAnsi" w:hAnsiTheme="minorHAnsi" w:cstheme="minorHAnsi"/>
          <w:sz w:val="24"/>
        </w:rPr>
        <w:t xml:space="preserve"> Birmingham Academic </w:t>
      </w:r>
      <w:r w:rsidR="00884517">
        <w:rPr>
          <w:rFonts w:asciiTheme="minorHAnsi" w:hAnsiTheme="minorHAnsi" w:cstheme="minorHAnsi"/>
          <w:sz w:val="24"/>
        </w:rPr>
        <w:t xml:space="preserve">Career </w:t>
      </w:r>
      <w:r w:rsidR="005F7550" w:rsidRPr="00005A08">
        <w:rPr>
          <w:rFonts w:asciiTheme="minorHAnsi" w:hAnsiTheme="minorHAnsi" w:cstheme="minorHAnsi"/>
          <w:sz w:val="24"/>
        </w:rPr>
        <w:t>Framework</w:t>
      </w:r>
      <w:r w:rsidR="00937743" w:rsidRPr="00005A08">
        <w:rPr>
          <w:rFonts w:asciiTheme="minorHAnsi" w:hAnsiTheme="minorHAnsi" w:cstheme="minorHAnsi"/>
          <w:sz w:val="24"/>
        </w:rPr>
        <w:t xml:space="preserve">. </w:t>
      </w:r>
      <w:r w:rsidR="00645FA6" w:rsidRPr="00005A08">
        <w:rPr>
          <w:rFonts w:asciiTheme="minorHAnsi" w:hAnsiTheme="minorHAnsi" w:cstheme="minorHAnsi"/>
          <w:sz w:val="24"/>
        </w:rPr>
        <w:t xml:space="preserve">In 2021 </w:t>
      </w:r>
      <w:r w:rsidR="00005A08" w:rsidRPr="00005A08">
        <w:rPr>
          <w:rFonts w:asciiTheme="minorHAnsi" w:hAnsiTheme="minorHAnsi" w:cstheme="minorHAnsi"/>
          <w:sz w:val="24"/>
        </w:rPr>
        <w:t>42</w:t>
      </w:r>
      <w:r w:rsidR="0008397A" w:rsidRPr="00005A08">
        <w:rPr>
          <w:rFonts w:asciiTheme="minorHAnsi" w:hAnsiTheme="minorHAnsi" w:cstheme="minorHAnsi"/>
          <w:sz w:val="24"/>
        </w:rPr>
        <w:t xml:space="preserve">% of our academic staff </w:t>
      </w:r>
      <w:r w:rsidR="00884517">
        <w:rPr>
          <w:rFonts w:asciiTheme="minorHAnsi" w:hAnsiTheme="minorHAnsi" w:cstheme="minorHAnsi"/>
          <w:sz w:val="24"/>
        </w:rPr>
        <w:t>were</w:t>
      </w:r>
      <w:r w:rsidR="0008397A" w:rsidRPr="00005A08">
        <w:rPr>
          <w:rFonts w:asciiTheme="minorHAnsi" w:hAnsiTheme="minorHAnsi" w:cstheme="minorHAnsi"/>
          <w:sz w:val="24"/>
        </w:rPr>
        <w:t xml:space="preserve"> female and </w:t>
      </w:r>
      <w:r w:rsidR="00005A08" w:rsidRPr="00005A08">
        <w:rPr>
          <w:rFonts w:asciiTheme="minorHAnsi" w:hAnsiTheme="minorHAnsi" w:cstheme="minorHAnsi"/>
          <w:sz w:val="24"/>
        </w:rPr>
        <w:t>58</w:t>
      </w:r>
      <w:r w:rsidR="0008397A" w:rsidRPr="00005A08">
        <w:rPr>
          <w:rFonts w:asciiTheme="minorHAnsi" w:hAnsiTheme="minorHAnsi" w:cstheme="minorHAnsi"/>
          <w:sz w:val="24"/>
        </w:rPr>
        <w:t xml:space="preserve">% male. </w:t>
      </w:r>
    </w:p>
    <w:p w14:paraId="2DF6FB85" w14:textId="771BF2F5" w:rsidR="00D7056D" w:rsidRDefault="00D7056D" w:rsidP="007C3425">
      <w:pPr>
        <w:spacing w:line="276" w:lineRule="auto"/>
        <w:rPr>
          <w:rFonts w:asciiTheme="minorHAnsi" w:hAnsiTheme="minorHAnsi" w:cstheme="minorHAnsi"/>
          <w:sz w:val="24"/>
        </w:rPr>
      </w:pPr>
    </w:p>
    <w:p w14:paraId="07A45516" w14:textId="1582029D" w:rsidR="00AE2E51" w:rsidRPr="007C3425" w:rsidRDefault="0008397A" w:rsidP="007C3425">
      <w:pPr>
        <w:spacing w:line="276" w:lineRule="auto"/>
        <w:rPr>
          <w:rFonts w:asciiTheme="minorHAnsi" w:hAnsiTheme="minorHAnsi" w:cstheme="minorHAnsi"/>
          <w:sz w:val="24"/>
        </w:rPr>
      </w:pPr>
      <w:r w:rsidRPr="007C3425">
        <w:rPr>
          <w:rFonts w:asciiTheme="minorHAnsi" w:hAnsiTheme="minorHAnsi" w:cstheme="minorHAnsi"/>
          <w:sz w:val="24"/>
        </w:rPr>
        <w:t xml:space="preserve">The University has </w:t>
      </w:r>
      <w:r w:rsidR="00873604" w:rsidRPr="007C3425">
        <w:rPr>
          <w:rFonts w:asciiTheme="minorHAnsi" w:hAnsiTheme="minorHAnsi" w:cstheme="minorHAnsi"/>
          <w:sz w:val="24"/>
        </w:rPr>
        <w:t>ten Professional Services directorates</w:t>
      </w:r>
      <w:r w:rsidRPr="007C3425">
        <w:rPr>
          <w:rFonts w:asciiTheme="minorHAnsi" w:hAnsiTheme="minorHAnsi" w:cstheme="minorHAnsi"/>
          <w:sz w:val="24"/>
        </w:rPr>
        <w:t xml:space="preserve">: Academic Services, Campus Services, Development &amp; Alumni Relations, Estates, Executive Support, External Relations, </w:t>
      </w:r>
      <w:r w:rsidR="00C51F0B" w:rsidRPr="007C3425">
        <w:rPr>
          <w:rFonts w:asciiTheme="minorHAnsi" w:hAnsiTheme="minorHAnsi" w:cstheme="minorHAnsi"/>
          <w:sz w:val="24"/>
        </w:rPr>
        <w:t xml:space="preserve">Finance, Human Resources, </w:t>
      </w:r>
      <w:r w:rsidRPr="007C3425">
        <w:rPr>
          <w:rFonts w:asciiTheme="minorHAnsi" w:hAnsiTheme="minorHAnsi" w:cstheme="minorHAnsi"/>
          <w:sz w:val="24"/>
        </w:rPr>
        <w:t>IT Services</w:t>
      </w:r>
      <w:r w:rsidR="00C51F0B" w:rsidRPr="007C3425">
        <w:rPr>
          <w:rFonts w:asciiTheme="minorHAnsi" w:hAnsiTheme="minorHAnsi" w:cstheme="minorHAnsi"/>
          <w:sz w:val="24"/>
        </w:rPr>
        <w:t xml:space="preserve"> and the Registrar and Secretary’s Office. </w:t>
      </w:r>
      <w:r w:rsidRPr="007C3425">
        <w:rPr>
          <w:rFonts w:asciiTheme="minorHAnsi" w:hAnsiTheme="minorHAnsi" w:cstheme="minorHAnsi"/>
          <w:sz w:val="24"/>
        </w:rPr>
        <w:t xml:space="preserve">The majority of our </w:t>
      </w:r>
      <w:r w:rsidR="00E93B92">
        <w:rPr>
          <w:rFonts w:asciiTheme="minorHAnsi" w:hAnsiTheme="minorHAnsi" w:cstheme="minorHAnsi"/>
          <w:sz w:val="24"/>
        </w:rPr>
        <w:t>P</w:t>
      </w:r>
      <w:r w:rsidRPr="007C3425">
        <w:rPr>
          <w:rFonts w:asciiTheme="minorHAnsi" w:hAnsiTheme="minorHAnsi" w:cstheme="minorHAnsi"/>
          <w:sz w:val="24"/>
        </w:rPr>
        <w:t xml:space="preserve">rofessional </w:t>
      </w:r>
      <w:r w:rsidR="00E93B92">
        <w:rPr>
          <w:rFonts w:asciiTheme="minorHAnsi" w:hAnsiTheme="minorHAnsi" w:cstheme="minorHAnsi"/>
          <w:sz w:val="24"/>
        </w:rPr>
        <w:t>Services staff work in these ten directorates</w:t>
      </w:r>
      <w:r w:rsidRPr="007C3425">
        <w:rPr>
          <w:rFonts w:asciiTheme="minorHAnsi" w:hAnsiTheme="minorHAnsi" w:cstheme="minorHAnsi"/>
          <w:sz w:val="24"/>
        </w:rPr>
        <w:t xml:space="preserve">, with </w:t>
      </w:r>
      <w:r w:rsidR="00E93B92">
        <w:rPr>
          <w:rFonts w:asciiTheme="minorHAnsi" w:hAnsiTheme="minorHAnsi" w:cstheme="minorHAnsi"/>
          <w:sz w:val="24"/>
        </w:rPr>
        <w:t>a smaller proportion working</w:t>
      </w:r>
      <w:r w:rsidRPr="007C3425">
        <w:rPr>
          <w:rFonts w:asciiTheme="minorHAnsi" w:hAnsiTheme="minorHAnsi" w:cstheme="minorHAnsi"/>
          <w:sz w:val="24"/>
        </w:rPr>
        <w:t xml:space="preserve"> in the</w:t>
      </w:r>
      <w:r w:rsidR="00EB2AAB" w:rsidRPr="007C3425">
        <w:rPr>
          <w:rFonts w:asciiTheme="minorHAnsi" w:hAnsiTheme="minorHAnsi" w:cstheme="minorHAnsi"/>
          <w:sz w:val="24"/>
        </w:rPr>
        <w:t xml:space="preserve"> academic</w:t>
      </w:r>
      <w:r w:rsidRPr="007C3425">
        <w:rPr>
          <w:rFonts w:asciiTheme="minorHAnsi" w:hAnsiTheme="minorHAnsi" w:cstheme="minorHAnsi"/>
          <w:sz w:val="24"/>
        </w:rPr>
        <w:t xml:space="preserve"> Colleges.</w:t>
      </w:r>
      <w:r w:rsidR="00EB2AAB" w:rsidRPr="007C3425">
        <w:rPr>
          <w:rFonts w:asciiTheme="minorHAnsi" w:hAnsiTheme="minorHAnsi" w:cstheme="minorHAnsi"/>
          <w:sz w:val="24"/>
        </w:rPr>
        <w:t xml:space="preserve"> </w:t>
      </w:r>
      <w:r w:rsidR="00825B26" w:rsidRPr="007C3425">
        <w:rPr>
          <w:rFonts w:asciiTheme="minorHAnsi" w:hAnsiTheme="minorHAnsi" w:cstheme="minorHAnsi"/>
          <w:sz w:val="24"/>
        </w:rPr>
        <w:t>Professional Services roles include managerial and specialist roles</w:t>
      </w:r>
      <w:r w:rsidR="00CC3E63" w:rsidRPr="007C3425">
        <w:rPr>
          <w:rFonts w:asciiTheme="minorHAnsi" w:hAnsiTheme="minorHAnsi" w:cstheme="minorHAnsi"/>
          <w:sz w:val="24"/>
        </w:rPr>
        <w:t xml:space="preserve">, </w:t>
      </w:r>
      <w:r w:rsidR="00825B26" w:rsidRPr="007C3425">
        <w:rPr>
          <w:rFonts w:asciiTheme="minorHAnsi" w:hAnsiTheme="minorHAnsi" w:cstheme="minorHAnsi"/>
          <w:sz w:val="24"/>
        </w:rPr>
        <w:t>technical and administrative support roles</w:t>
      </w:r>
      <w:r w:rsidR="00CC3E63" w:rsidRPr="007C3425">
        <w:rPr>
          <w:rFonts w:asciiTheme="minorHAnsi" w:hAnsiTheme="minorHAnsi" w:cstheme="minorHAnsi"/>
          <w:sz w:val="24"/>
        </w:rPr>
        <w:t xml:space="preserve"> </w:t>
      </w:r>
      <w:r w:rsidR="00825B26" w:rsidRPr="007C3425">
        <w:rPr>
          <w:rFonts w:asciiTheme="minorHAnsi" w:hAnsiTheme="minorHAnsi" w:cstheme="minorHAnsi"/>
          <w:sz w:val="24"/>
        </w:rPr>
        <w:t xml:space="preserve">and the provision of essential </w:t>
      </w:r>
      <w:r w:rsidR="00CC3E63" w:rsidRPr="007C3425">
        <w:rPr>
          <w:rFonts w:asciiTheme="minorHAnsi" w:hAnsiTheme="minorHAnsi" w:cstheme="minorHAnsi"/>
          <w:sz w:val="24"/>
        </w:rPr>
        <w:t xml:space="preserve">campus </w:t>
      </w:r>
      <w:r w:rsidR="00825B26" w:rsidRPr="007C3425">
        <w:rPr>
          <w:rFonts w:asciiTheme="minorHAnsi" w:hAnsiTheme="minorHAnsi" w:cstheme="minorHAnsi"/>
          <w:sz w:val="24"/>
        </w:rPr>
        <w:t>services such as catering</w:t>
      </w:r>
      <w:r w:rsidR="00CC3E63" w:rsidRPr="007C3425">
        <w:rPr>
          <w:rFonts w:asciiTheme="minorHAnsi" w:hAnsiTheme="minorHAnsi" w:cstheme="minorHAnsi"/>
          <w:sz w:val="24"/>
        </w:rPr>
        <w:t xml:space="preserve">, </w:t>
      </w:r>
      <w:r w:rsidR="00825B26" w:rsidRPr="007C3425">
        <w:rPr>
          <w:rFonts w:asciiTheme="minorHAnsi" w:hAnsiTheme="minorHAnsi" w:cstheme="minorHAnsi"/>
          <w:sz w:val="24"/>
        </w:rPr>
        <w:t>cleaning</w:t>
      </w:r>
      <w:r w:rsidR="00CC3E63" w:rsidRPr="007C3425">
        <w:rPr>
          <w:rFonts w:asciiTheme="minorHAnsi" w:hAnsiTheme="minorHAnsi" w:cstheme="minorHAnsi"/>
          <w:sz w:val="24"/>
        </w:rPr>
        <w:t xml:space="preserve">, maintenance and security. The </w:t>
      </w:r>
      <w:r w:rsidR="00825B26" w:rsidRPr="007C3425">
        <w:rPr>
          <w:rFonts w:asciiTheme="minorHAnsi" w:hAnsiTheme="minorHAnsi" w:cstheme="minorHAnsi"/>
          <w:sz w:val="24"/>
        </w:rPr>
        <w:t xml:space="preserve">University does </w:t>
      </w:r>
      <w:r w:rsidR="00825B26" w:rsidRPr="007C3425">
        <w:rPr>
          <w:rFonts w:asciiTheme="minorHAnsi" w:hAnsiTheme="minorHAnsi" w:cstheme="minorHAnsi"/>
          <w:sz w:val="24"/>
        </w:rPr>
        <w:lastRenderedPageBreak/>
        <w:t xml:space="preserve">not outsource </w:t>
      </w:r>
      <w:r w:rsidR="00CC3E63" w:rsidRPr="007C3425">
        <w:rPr>
          <w:rFonts w:asciiTheme="minorHAnsi" w:hAnsiTheme="minorHAnsi" w:cstheme="minorHAnsi"/>
          <w:sz w:val="24"/>
        </w:rPr>
        <w:t>any of these services</w:t>
      </w:r>
      <w:r w:rsidR="00C51F0B" w:rsidRPr="007C3425">
        <w:rPr>
          <w:rFonts w:asciiTheme="minorHAnsi" w:hAnsiTheme="minorHAnsi" w:cstheme="minorHAnsi"/>
          <w:sz w:val="24"/>
        </w:rPr>
        <w:t>,</w:t>
      </w:r>
      <w:r w:rsidR="00CC3E63" w:rsidRPr="007C3425">
        <w:rPr>
          <w:rFonts w:asciiTheme="minorHAnsi" w:hAnsiTheme="minorHAnsi" w:cstheme="minorHAnsi"/>
          <w:sz w:val="24"/>
        </w:rPr>
        <w:t xml:space="preserve"> meaning that our </w:t>
      </w:r>
      <w:r w:rsidR="00E93B92">
        <w:rPr>
          <w:rFonts w:asciiTheme="minorHAnsi" w:hAnsiTheme="minorHAnsi" w:cstheme="minorHAnsi"/>
          <w:sz w:val="24"/>
        </w:rPr>
        <w:t xml:space="preserve">gender </w:t>
      </w:r>
      <w:r w:rsidR="00CC3E63" w:rsidRPr="007C3425">
        <w:rPr>
          <w:rFonts w:asciiTheme="minorHAnsi" w:hAnsiTheme="minorHAnsi" w:cstheme="minorHAnsi"/>
          <w:sz w:val="24"/>
        </w:rPr>
        <w:t xml:space="preserve">pay gap data </w:t>
      </w:r>
      <w:r w:rsidR="00C51F0B" w:rsidRPr="007C3425">
        <w:rPr>
          <w:rFonts w:asciiTheme="minorHAnsi" w:hAnsiTheme="minorHAnsi" w:cstheme="minorHAnsi"/>
          <w:sz w:val="24"/>
        </w:rPr>
        <w:t>includes the</w:t>
      </w:r>
      <w:r w:rsidR="00CC3E63" w:rsidRPr="007C3425">
        <w:rPr>
          <w:rFonts w:asciiTheme="minorHAnsi" w:hAnsiTheme="minorHAnsi" w:cstheme="minorHAnsi"/>
          <w:sz w:val="24"/>
        </w:rPr>
        <w:t xml:space="preserve"> full range of </w:t>
      </w:r>
      <w:r w:rsidR="00CC3E63" w:rsidRPr="00005A08">
        <w:rPr>
          <w:rFonts w:asciiTheme="minorHAnsi" w:hAnsiTheme="minorHAnsi" w:cstheme="minorHAnsi"/>
          <w:sz w:val="24"/>
        </w:rPr>
        <w:t xml:space="preserve">jobs undertaken </w:t>
      </w:r>
      <w:r w:rsidR="00C51F0B" w:rsidRPr="00005A08">
        <w:rPr>
          <w:rFonts w:asciiTheme="minorHAnsi" w:hAnsiTheme="minorHAnsi" w:cstheme="minorHAnsi"/>
          <w:sz w:val="24"/>
        </w:rPr>
        <w:t xml:space="preserve">on campus. </w:t>
      </w:r>
      <w:r w:rsidR="00645FA6" w:rsidRPr="00005A08">
        <w:rPr>
          <w:rFonts w:asciiTheme="minorHAnsi" w:hAnsiTheme="minorHAnsi" w:cstheme="minorHAnsi"/>
          <w:sz w:val="24"/>
        </w:rPr>
        <w:t xml:space="preserve"> In 2021 </w:t>
      </w:r>
      <w:r w:rsidR="00005A08" w:rsidRPr="00005A08">
        <w:rPr>
          <w:rFonts w:asciiTheme="minorHAnsi" w:hAnsiTheme="minorHAnsi" w:cstheme="minorHAnsi"/>
          <w:sz w:val="24"/>
        </w:rPr>
        <w:t>61</w:t>
      </w:r>
      <w:r w:rsidR="00AE2E51" w:rsidRPr="00005A08">
        <w:rPr>
          <w:rFonts w:asciiTheme="minorHAnsi" w:hAnsiTheme="minorHAnsi" w:cstheme="minorHAnsi"/>
          <w:sz w:val="24"/>
        </w:rPr>
        <w:t xml:space="preserve">% of our Professional Services staff </w:t>
      </w:r>
      <w:r w:rsidR="00884517">
        <w:rPr>
          <w:rFonts w:asciiTheme="minorHAnsi" w:hAnsiTheme="minorHAnsi" w:cstheme="minorHAnsi"/>
          <w:sz w:val="24"/>
        </w:rPr>
        <w:t>were</w:t>
      </w:r>
      <w:r w:rsidR="00884517" w:rsidRPr="00005A08">
        <w:rPr>
          <w:rFonts w:asciiTheme="minorHAnsi" w:hAnsiTheme="minorHAnsi" w:cstheme="minorHAnsi"/>
          <w:sz w:val="24"/>
        </w:rPr>
        <w:t xml:space="preserve"> </w:t>
      </w:r>
      <w:r w:rsidR="00AE2E51" w:rsidRPr="00005A08">
        <w:rPr>
          <w:rFonts w:asciiTheme="minorHAnsi" w:hAnsiTheme="minorHAnsi" w:cstheme="minorHAnsi"/>
          <w:sz w:val="24"/>
        </w:rPr>
        <w:t xml:space="preserve">female and </w:t>
      </w:r>
      <w:r w:rsidR="00005A08" w:rsidRPr="00005A08">
        <w:rPr>
          <w:rFonts w:asciiTheme="minorHAnsi" w:hAnsiTheme="minorHAnsi" w:cstheme="minorHAnsi"/>
          <w:sz w:val="24"/>
        </w:rPr>
        <w:t>39</w:t>
      </w:r>
      <w:r w:rsidR="00AE2E51" w:rsidRPr="00005A08">
        <w:rPr>
          <w:rFonts w:asciiTheme="minorHAnsi" w:hAnsiTheme="minorHAnsi" w:cstheme="minorHAnsi"/>
          <w:sz w:val="24"/>
        </w:rPr>
        <w:t>% male.</w:t>
      </w:r>
      <w:r w:rsidR="00AE2E51" w:rsidRPr="007C3425">
        <w:rPr>
          <w:rFonts w:asciiTheme="minorHAnsi" w:hAnsiTheme="minorHAnsi" w:cstheme="minorHAnsi"/>
          <w:sz w:val="24"/>
        </w:rPr>
        <w:t xml:space="preserve"> </w:t>
      </w:r>
    </w:p>
    <w:p w14:paraId="5FCEC7EC" w14:textId="6F81D904" w:rsidR="007129B1" w:rsidRDefault="007129B1" w:rsidP="007C3425">
      <w:pPr>
        <w:spacing w:line="276" w:lineRule="auto"/>
        <w:rPr>
          <w:rFonts w:asciiTheme="minorHAnsi" w:hAnsiTheme="minorHAnsi" w:cstheme="minorHAnsi"/>
          <w:sz w:val="24"/>
        </w:rPr>
      </w:pPr>
    </w:p>
    <w:p w14:paraId="636F5866" w14:textId="419F3B43" w:rsidR="00977169" w:rsidRDefault="00977169">
      <w:pPr>
        <w:rPr>
          <w:rFonts w:asciiTheme="minorHAnsi" w:hAnsiTheme="minorHAnsi" w:cstheme="minorHAnsi"/>
          <w:sz w:val="24"/>
        </w:rPr>
      </w:pPr>
      <w:r>
        <w:rPr>
          <w:rFonts w:asciiTheme="minorHAnsi" w:hAnsiTheme="minorHAnsi" w:cstheme="minorHAnsi"/>
          <w:sz w:val="24"/>
        </w:rPr>
        <w:br w:type="page"/>
      </w:r>
    </w:p>
    <w:p w14:paraId="58780119" w14:textId="00CF7098" w:rsidR="00C00082" w:rsidRPr="00977169" w:rsidRDefault="00C00082" w:rsidP="007C3425">
      <w:pPr>
        <w:pStyle w:val="Heading1"/>
        <w:spacing w:line="276" w:lineRule="auto"/>
        <w:rPr>
          <w:rFonts w:asciiTheme="minorHAnsi" w:hAnsiTheme="minorHAnsi" w:cstheme="minorHAnsi"/>
          <w:color w:val="auto"/>
          <w:sz w:val="28"/>
          <w:szCs w:val="28"/>
        </w:rPr>
      </w:pPr>
      <w:r w:rsidRPr="00977169">
        <w:rPr>
          <w:rFonts w:asciiTheme="minorHAnsi" w:hAnsiTheme="minorHAnsi" w:cstheme="minorHAnsi"/>
          <w:color w:val="auto"/>
          <w:sz w:val="28"/>
          <w:szCs w:val="28"/>
        </w:rPr>
        <w:lastRenderedPageBreak/>
        <w:t>Equal Pay and the Gender Pay Gap</w:t>
      </w:r>
    </w:p>
    <w:p w14:paraId="36E7CCDC" w14:textId="77777777" w:rsidR="00C00082" w:rsidRPr="007C3425" w:rsidRDefault="00C00082" w:rsidP="007C3425">
      <w:pPr>
        <w:spacing w:line="276" w:lineRule="auto"/>
        <w:rPr>
          <w:rFonts w:asciiTheme="minorHAnsi" w:hAnsiTheme="minorHAnsi" w:cstheme="minorHAnsi"/>
          <w:sz w:val="24"/>
        </w:rPr>
      </w:pPr>
    </w:p>
    <w:p w14:paraId="0ECF04E9" w14:textId="2EFA426D" w:rsidR="00C00082" w:rsidRPr="007C3425" w:rsidRDefault="00C00082" w:rsidP="007C3425">
      <w:pPr>
        <w:pStyle w:val="Heading2"/>
        <w:spacing w:line="276" w:lineRule="auto"/>
        <w:rPr>
          <w:rFonts w:asciiTheme="minorHAnsi" w:hAnsiTheme="minorHAnsi" w:cstheme="minorHAnsi"/>
          <w:color w:val="auto"/>
          <w:sz w:val="24"/>
          <w:szCs w:val="24"/>
        </w:rPr>
      </w:pPr>
      <w:r w:rsidRPr="007C3425">
        <w:rPr>
          <w:rFonts w:asciiTheme="minorHAnsi" w:hAnsiTheme="minorHAnsi" w:cstheme="minorHAnsi"/>
          <w:color w:val="auto"/>
          <w:sz w:val="24"/>
          <w:szCs w:val="24"/>
        </w:rPr>
        <w:t>What is the Gender Pay Gap?</w:t>
      </w:r>
    </w:p>
    <w:p w14:paraId="51D31F3F" w14:textId="77777777" w:rsidR="00C00082" w:rsidRPr="007C3425" w:rsidRDefault="00C00082" w:rsidP="007C3425">
      <w:pPr>
        <w:spacing w:line="276" w:lineRule="auto"/>
        <w:rPr>
          <w:rFonts w:asciiTheme="minorHAnsi" w:hAnsiTheme="minorHAnsi" w:cstheme="minorHAnsi"/>
          <w:sz w:val="24"/>
        </w:rPr>
      </w:pPr>
    </w:p>
    <w:p w14:paraId="7FF9994D" w14:textId="10391430" w:rsidR="00C00082" w:rsidRPr="007C3425" w:rsidRDefault="00C00082" w:rsidP="007C3425">
      <w:pPr>
        <w:spacing w:line="276" w:lineRule="auto"/>
        <w:rPr>
          <w:rFonts w:asciiTheme="minorHAnsi" w:hAnsiTheme="minorHAnsi" w:cstheme="minorHAnsi"/>
          <w:sz w:val="24"/>
        </w:rPr>
      </w:pPr>
      <w:r w:rsidRPr="007C3425">
        <w:rPr>
          <w:rFonts w:asciiTheme="minorHAnsi" w:hAnsiTheme="minorHAnsi" w:cstheme="minorHAnsi"/>
          <w:sz w:val="24"/>
        </w:rPr>
        <w:t xml:space="preserve">The gender pay gap is the difference between the average hourly pay of </w:t>
      </w:r>
      <w:r w:rsidR="00F61798">
        <w:rPr>
          <w:rFonts w:asciiTheme="minorHAnsi" w:hAnsiTheme="minorHAnsi" w:cstheme="minorHAnsi"/>
          <w:sz w:val="24"/>
        </w:rPr>
        <w:t>fe</w:t>
      </w:r>
      <w:r w:rsidRPr="007C3425">
        <w:rPr>
          <w:rFonts w:asciiTheme="minorHAnsi" w:hAnsiTheme="minorHAnsi" w:cstheme="minorHAnsi"/>
          <w:sz w:val="24"/>
        </w:rPr>
        <w:t xml:space="preserve">male </w:t>
      </w:r>
      <w:r w:rsidR="00F61798">
        <w:rPr>
          <w:rFonts w:asciiTheme="minorHAnsi" w:hAnsiTheme="minorHAnsi" w:cstheme="minorHAnsi"/>
          <w:sz w:val="24"/>
        </w:rPr>
        <w:t xml:space="preserve">and male </w:t>
      </w:r>
      <w:r w:rsidRPr="007C3425">
        <w:rPr>
          <w:rFonts w:asciiTheme="minorHAnsi" w:hAnsiTheme="minorHAnsi" w:cstheme="minorHAnsi"/>
          <w:sz w:val="24"/>
        </w:rPr>
        <w:t>staff</w:t>
      </w:r>
      <w:r w:rsidR="00F61798">
        <w:rPr>
          <w:rFonts w:asciiTheme="minorHAnsi" w:hAnsiTheme="minorHAnsi" w:cstheme="minorHAnsi"/>
          <w:sz w:val="24"/>
        </w:rPr>
        <w:t xml:space="preserve">. </w:t>
      </w:r>
      <w:r w:rsidRPr="007C3425">
        <w:rPr>
          <w:rFonts w:asciiTheme="minorHAnsi" w:hAnsiTheme="minorHAnsi" w:cstheme="minorHAnsi"/>
          <w:sz w:val="24"/>
        </w:rPr>
        <w:t>This is shown as mean average (calculated by adding the remuneration of all male and all female employees and dividing it by the number of employees) and median (the middle value when all female and all male staff hourly pay is listed from lowest to highest value).</w:t>
      </w:r>
    </w:p>
    <w:p w14:paraId="257B11C4" w14:textId="77777777" w:rsidR="00C00082" w:rsidRPr="007C3425" w:rsidRDefault="00C00082" w:rsidP="007C3425">
      <w:pPr>
        <w:spacing w:line="276" w:lineRule="auto"/>
        <w:rPr>
          <w:rFonts w:asciiTheme="minorHAnsi" w:hAnsiTheme="minorHAnsi" w:cstheme="minorHAnsi"/>
          <w:sz w:val="24"/>
        </w:rPr>
      </w:pPr>
    </w:p>
    <w:p w14:paraId="7D654A2A" w14:textId="54ADBCA6" w:rsidR="00C00082" w:rsidRPr="007C3425" w:rsidRDefault="00C00082" w:rsidP="007C3425">
      <w:pPr>
        <w:pStyle w:val="Heading2"/>
        <w:spacing w:line="276" w:lineRule="auto"/>
        <w:rPr>
          <w:rFonts w:asciiTheme="minorHAnsi" w:hAnsiTheme="minorHAnsi" w:cstheme="minorHAnsi"/>
          <w:color w:val="auto"/>
          <w:sz w:val="24"/>
          <w:szCs w:val="24"/>
        </w:rPr>
      </w:pPr>
      <w:r w:rsidRPr="007C3425">
        <w:rPr>
          <w:rFonts w:asciiTheme="minorHAnsi" w:hAnsiTheme="minorHAnsi" w:cstheme="minorHAnsi"/>
          <w:color w:val="auto"/>
          <w:sz w:val="24"/>
          <w:szCs w:val="24"/>
        </w:rPr>
        <w:t>What is the Gender Bonus Gap?</w:t>
      </w:r>
    </w:p>
    <w:p w14:paraId="6671265A" w14:textId="77777777" w:rsidR="00C00082" w:rsidRPr="007C3425" w:rsidRDefault="00C00082" w:rsidP="007C3425">
      <w:pPr>
        <w:spacing w:line="276" w:lineRule="auto"/>
        <w:rPr>
          <w:rFonts w:asciiTheme="minorHAnsi" w:hAnsiTheme="minorHAnsi" w:cstheme="minorHAnsi"/>
          <w:sz w:val="24"/>
        </w:rPr>
      </w:pPr>
    </w:p>
    <w:p w14:paraId="31DB35C7" w14:textId="3D22B59F" w:rsidR="00C00082" w:rsidRPr="007C3425" w:rsidRDefault="00C00082" w:rsidP="007C3425">
      <w:pPr>
        <w:spacing w:line="276" w:lineRule="auto"/>
        <w:rPr>
          <w:rFonts w:asciiTheme="minorHAnsi" w:hAnsiTheme="minorHAnsi" w:cstheme="minorHAnsi"/>
          <w:sz w:val="24"/>
        </w:rPr>
      </w:pPr>
      <w:r w:rsidRPr="007C3425">
        <w:rPr>
          <w:rFonts w:asciiTheme="minorHAnsi" w:hAnsiTheme="minorHAnsi" w:cstheme="minorHAnsi"/>
          <w:sz w:val="24"/>
        </w:rPr>
        <w:t>The bonus gap is the difference between the value of the average female staff member’s bonus and the average male staff member’s bonus</w:t>
      </w:r>
      <w:r w:rsidR="00F61798">
        <w:rPr>
          <w:rFonts w:asciiTheme="minorHAnsi" w:hAnsiTheme="minorHAnsi" w:cstheme="minorHAnsi"/>
          <w:sz w:val="24"/>
        </w:rPr>
        <w:t>,</w:t>
      </w:r>
      <w:r w:rsidRPr="007C3425">
        <w:rPr>
          <w:rFonts w:asciiTheme="minorHAnsi" w:hAnsiTheme="minorHAnsi" w:cstheme="minorHAnsi"/>
          <w:sz w:val="24"/>
        </w:rPr>
        <w:t xml:space="preserve"> awarded between 1 April 20</w:t>
      </w:r>
      <w:r w:rsidR="00AF2CBA" w:rsidRPr="007C3425">
        <w:rPr>
          <w:rFonts w:asciiTheme="minorHAnsi" w:hAnsiTheme="minorHAnsi" w:cstheme="minorHAnsi"/>
          <w:sz w:val="24"/>
        </w:rPr>
        <w:t>20</w:t>
      </w:r>
      <w:r w:rsidRPr="007C3425">
        <w:rPr>
          <w:rFonts w:asciiTheme="minorHAnsi" w:hAnsiTheme="minorHAnsi" w:cstheme="minorHAnsi"/>
          <w:sz w:val="24"/>
        </w:rPr>
        <w:t xml:space="preserve"> and 31 March 202</w:t>
      </w:r>
      <w:r w:rsidR="00AF2CBA" w:rsidRPr="007C3425">
        <w:rPr>
          <w:rFonts w:asciiTheme="minorHAnsi" w:hAnsiTheme="minorHAnsi" w:cstheme="minorHAnsi"/>
          <w:sz w:val="24"/>
        </w:rPr>
        <w:t>1</w:t>
      </w:r>
      <w:r w:rsidRPr="007C3425">
        <w:rPr>
          <w:rFonts w:asciiTheme="minorHAnsi" w:hAnsiTheme="minorHAnsi" w:cstheme="minorHAnsi"/>
          <w:sz w:val="24"/>
        </w:rPr>
        <w:t>. This is show</w:t>
      </w:r>
      <w:r w:rsidR="00F61798">
        <w:rPr>
          <w:rFonts w:asciiTheme="minorHAnsi" w:hAnsiTheme="minorHAnsi" w:cstheme="minorHAnsi"/>
          <w:sz w:val="24"/>
        </w:rPr>
        <w:t xml:space="preserve"> </w:t>
      </w:r>
      <w:r w:rsidRPr="007C3425">
        <w:rPr>
          <w:rFonts w:asciiTheme="minorHAnsi" w:hAnsiTheme="minorHAnsi" w:cstheme="minorHAnsi"/>
          <w:sz w:val="24"/>
        </w:rPr>
        <w:t>as the mean average and the media</w:t>
      </w:r>
      <w:r w:rsidR="00F61798">
        <w:rPr>
          <w:rFonts w:asciiTheme="minorHAnsi" w:hAnsiTheme="minorHAnsi" w:cstheme="minorHAnsi"/>
          <w:sz w:val="24"/>
        </w:rPr>
        <w:t>n as described above.</w:t>
      </w:r>
    </w:p>
    <w:p w14:paraId="33353593" w14:textId="77777777" w:rsidR="00C00082" w:rsidRPr="007C3425" w:rsidRDefault="00C00082" w:rsidP="007C3425">
      <w:pPr>
        <w:spacing w:line="276" w:lineRule="auto"/>
        <w:rPr>
          <w:rFonts w:asciiTheme="minorHAnsi" w:hAnsiTheme="minorHAnsi" w:cstheme="minorHAnsi"/>
          <w:sz w:val="24"/>
        </w:rPr>
      </w:pPr>
    </w:p>
    <w:p w14:paraId="55DEE931" w14:textId="198B00BD" w:rsidR="00C00082" w:rsidRPr="007C3425" w:rsidRDefault="00C00082" w:rsidP="007C3425">
      <w:pPr>
        <w:pStyle w:val="Heading2"/>
        <w:spacing w:line="276" w:lineRule="auto"/>
        <w:rPr>
          <w:rFonts w:asciiTheme="minorHAnsi" w:hAnsiTheme="minorHAnsi" w:cstheme="minorHAnsi"/>
          <w:color w:val="auto"/>
          <w:sz w:val="24"/>
          <w:szCs w:val="24"/>
        </w:rPr>
      </w:pPr>
      <w:r w:rsidRPr="007C3425">
        <w:rPr>
          <w:rFonts w:asciiTheme="minorHAnsi" w:hAnsiTheme="minorHAnsi" w:cstheme="minorHAnsi"/>
          <w:color w:val="auto"/>
          <w:sz w:val="24"/>
          <w:szCs w:val="24"/>
        </w:rPr>
        <w:t>What is Equal Pay?</w:t>
      </w:r>
    </w:p>
    <w:p w14:paraId="626D99FD" w14:textId="77777777" w:rsidR="00C00082" w:rsidRPr="007C3425" w:rsidRDefault="00C00082" w:rsidP="007C3425">
      <w:pPr>
        <w:spacing w:line="276" w:lineRule="auto"/>
        <w:rPr>
          <w:rFonts w:asciiTheme="minorHAnsi" w:hAnsiTheme="minorHAnsi" w:cstheme="minorHAnsi"/>
          <w:sz w:val="24"/>
        </w:rPr>
      </w:pPr>
    </w:p>
    <w:p w14:paraId="63A4E865" w14:textId="1504D73B" w:rsidR="00C00082" w:rsidRPr="007C3425" w:rsidRDefault="00F61798" w:rsidP="007C3425">
      <w:pPr>
        <w:spacing w:line="276" w:lineRule="auto"/>
        <w:rPr>
          <w:rFonts w:asciiTheme="minorHAnsi" w:hAnsiTheme="minorHAnsi" w:cstheme="minorHAnsi"/>
          <w:sz w:val="24"/>
        </w:rPr>
      </w:pPr>
      <w:r>
        <w:rPr>
          <w:rFonts w:asciiTheme="minorHAnsi" w:hAnsiTheme="minorHAnsi" w:cstheme="minorHAnsi"/>
          <w:sz w:val="24"/>
        </w:rPr>
        <w:t xml:space="preserve">The </w:t>
      </w:r>
      <w:r w:rsidR="00C00082" w:rsidRPr="007C3425">
        <w:rPr>
          <w:rFonts w:asciiTheme="minorHAnsi" w:hAnsiTheme="minorHAnsi" w:cstheme="minorHAnsi"/>
          <w:sz w:val="24"/>
        </w:rPr>
        <w:t>gender pay gap a</w:t>
      </w:r>
      <w:r w:rsidR="009C11C7">
        <w:rPr>
          <w:rFonts w:asciiTheme="minorHAnsi" w:hAnsiTheme="minorHAnsi" w:cstheme="minorHAnsi"/>
          <w:sz w:val="24"/>
        </w:rPr>
        <w:t>nd</w:t>
      </w:r>
      <w:r w:rsidR="00C00082" w:rsidRPr="007C3425">
        <w:rPr>
          <w:rFonts w:asciiTheme="minorHAnsi" w:hAnsiTheme="minorHAnsi" w:cstheme="minorHAnsi"/>
          <w:sz w:val="24"/>
        </w:rPr>
        <w:t xml:space="preserve"> </w:t>
      </w:r>
      <w:r>
        <w:rPr>
          <w:rFonts w:asciiTheme="minorHAnsi" w:hAnsiTheme="minorHAnsi" w:cstheme="minorHAnsi"/>
          <w:sz w:val="24"/>
        </w:rPr>
        <w:t xml:space="preserve">equal pay are </w:t>
      </w:r>
      <w:r w:rsidR="00C00082" w:rsidRPr="007C3425">
        <w:rPr>
          <w:rFonts w:asciiTheme="minorHAnsi" w:hAnsiTheme="minorHAnsi" w:cstheme="minorHAnsi"/>
          <w:sz w:val="24"/>
        </w:rPr>
        <w:t xml:space="preserve">two distinct measures.  </w:t>
      </w:r>
      <w:r w:rsidRPr="007C3425">
        <w:rPr>
          <w:rFonts w:asciiTheme="minorHAnsi" w:hAnsiTheme="minorHAnsi" w:cstheme="minorHAnsi"/>
          <w:sz w:val="24"/>
        </w:rPr>
        <w:t xml:space="preserve">The gender pay gap shows the differences in average pay between all men and all women in the University’s workforce. </w:t>
      </w:r>
      <w:r>
        <w:rPr>
          <w:rFonts w:asciiTheme="minorHAnsi" w:hAnsiTheme="minorHAnsi" w:cstheme="minorHAnsi"/>
          <w:sz w:val="24"/>
        </w:rPr>
        <w:t xml:space="preserve">That is the purpose of this report. </w:t>
      </w:r>
      <w:r w:rsidR="00C00082" w:rsidRPr="007C3425">
        <w:rPr>
          <w:rFonts w:asciiTheme="minorHAnsi" w:hAnsiTheme="minorHAnsi" w:cstheme="minorHAnsi"/>
          <w:sz w:val="24"/>
        </w:rPr>
        <w:t xml:space="preserve">Equal pay means women and men are paid the same rate for like work, as set out in the Equality Act 2010. The University uses a job evaluation scheme to systematically measure the relative value of jobs and ensure equal pay for like work. </w:t>
      </w:r>
    </w:p>
    <w:p w14:paraId="1893A75D" w14:textId="73884E55" w:rsidR="009429FF" w:rsidRPr="007C3425" w:rsidRDefault="009429FF" w:rsidP="007C3425">
      <w:pPr>
        <w:spacing w:line="276" w:lineRule="auto"/>
        <w:rPr>
          <w:rFonts w:asciiTheme="minorHAnsi" w:hAnsiTheme="minorHAnsi" w:cstheme="minorHAnsi"/>
          <w:sz w:val="24"/>
        </w:rPr>
      </w:pPr>
    </w:p>
    <w:p w14:paraId="4F3211E2" w14:textId="4D944C09" w:rsidR="009429FF" w:rsidRPr="007C3425" w:rsidRDefault="009429FF" w:rsidP="007C3425">
      <w:pPr>
        <w:pStyle w:val="Heading2"/>
        <w:spacing w:line="276" w:lineRule="auto"/>
        <w:rPr>
          <w:rFonts w:asciiTheme="minorHAnsi" w:hAnsiTheme="minorHAnsi" w:cstheme="minorHAnsi"/>
          <w:color w:val="auto"/>
          <w:sz w:val="24"/>
          <w:szCs w:val="24"/>
        </w:rPr>
      </w:pPr>
      <w:r w:rsidRPr="007C3425">
        <w:rPr>
          <w:rFonts w:asciiTheme="minorHAnsi" w:hAnsiTheme="minorHAnsi" w:cstheme="minorHAnsi"/>
          <w:color w:val="auto"/>
          <w:sz w:val="24"/>
          <w:szCs w:val="24"/>
        </w:rPr>
        <w:t xml:space="preserve">How </w:t>
      </w:r>
      <w:r w:rsidR="00EB2AAB" w:rsidRPr="007C3425">
        <w:rPr>
          <w:rFonts w:asciiTheme="minorHAnsi" w:hAnsiTheme="minorHAnsi" w:cstheme="minorHAnsi"/>
          <w:color w:val="auto"/>
          <w:sz w:val="24"/>
          <w:szCs w:val="24"/>
        </w:rPr>
        <w:t>do we</w:t>
      </w:r>
      <w:r w:rsidRPr="007C3425">
        <w:rPr>
          <w:rFonts w:asciiTheme="minorHAnsi" w:hAnsiTheme="minorHAnsi" w:cstheme="minorHAnsi"/>
          <w:color w:val="auto"/>
          <w:sz w:val="24"/>
          <w:szCs w:val="24"/>
        </w:rPr>
        <w:t xml:space="preserve"> </w:t>
      </w:r>
      <w:r w:rsidR="00D32991" w:rsidRPr="007C3425">
        <w:rPr>
          <w:rFonts w:asciiTheme="minorHAnsi" w:hAnsiTheme="minorHAnsi" w:cstheme="minorHAnsi"/>
          <w:color w:val="auto"/>
          <w:sz w:val="24"/>
          <w:szCs w:val="24"/>
        </w:rPr>
        <w:t>categorise female and male pay data</w:t>
      </w:r>
      <w:r w:rsidR="00EB2AAB" w:rsidRPr="007C3425">
        <w:rPr>
          <w:rFonts w:asciiTheme="minorHAnsi" w:hAnsiTheme="minorHAnsi" w:cstheme="minorHAnsi"/>
          <w:color w:val="auto"/>
          <w:sz w:val="24"/>
          <w:szCs w:val="24"/>
        </w:rPr>
        <w:t xml:space="preserve"> in the Gender Pay Gap report</w:t>
      </w:r>
      <w:r w:rsidRPr="007C3425">
        <w:rPr>
          <w:rFonts w:asciiTheme="minorHAnsi" w:hAnsiTheme="minorHAnsi" w:cstheme="minorHAnsi"/>
          <w:color w:val="auto"/>
          <w:sz w:val="24"/>
          <w:szCs w:val="24"/>
        </w:rPr>
        <w:t>?</w:t>
      </w:r>
    </w:p>
    <w:p w14:paraId="3D6D7979" w14:textId="77777777" w:rsidR="00C00082" w:rsidRPr="007C3425" w:rsidRDefault="00C00082" w:rsidP="007C3425">
      <w:pPr>
        <w:spacing w:line="276" w:lineRule="auto"/>
        <w:rPr>
          <w:rFonts w:asciiTheme="minorHAnsi" w:hAnsiTheme="minorHAnsi" w:cstheme="minorHAnsi"/>
          <w:sz w:val="24"/>
        </w:rPr>
      </w:pPr>
    </w:p>
    <w:p w14:paraId="64E0CD4E" w14:textId="54C0DEDA" w:rsidR="00977169" w:rsidRDefault="009253DE" w:rsidP="007C3425">
      <w:pPr>
        <w:spacing w:line="276" w:lineRule="auto"/>
        <w:rPr>
          <w:rFonts w:asciiTheme="minorHAnsi" w:hAnsiTheme="minorHAnsi" w:cstheme="minorHAnsi"/>
          <w:sz w:val="24"/>
        </w:rPr>
      </w:pPr>
      <w:r w:rsidRPr="007C3425">
        <w:rPr>
          <w:rFonts w:asciiTheme="minorHAnsi" w:hAnsiTheme="minorHAnsi" w:cstheme="minorHAnsi"/>
          <w:sz w:val="24"/>
        </w:rPr>
        <w:t>Our g</w:t>
      </w:r>
      <w:r w:rsidR="00C00082" w:rsidRPr="007C3425">
        <w:rPr>
          <w:rFonts w:asciiTheme="minorHAnsi" w:hAnsiTheme="minorHAnsi" w:cstheme="minorHAnsi"/>
          <w:sz w:val="24"/>
        </w:rPr>
        <w:t xml:space="preserve">ender pay </w:t>
      </w:r>
      <w:r w:rsidRPr="007C3425">
        <w:rPr>
          <w:rFonts w:asciiTheme="minorHAnsi" w:hAnsiTheme="minorHAnsi" w:cstheme="minorHAnsi"/>
          <w:sz w:val="24"/>
        </w:rPr>
        <w:t xml:space="preserve">gap </w:t>
      </w:r>
      <w:r w:rsidR="00C00082" w:rsidRPr="007C3425">
        <w:rPr>
          <w:rFonts w:asciiTheme="minorHAnsi" w:hAnsiTheme="minorHAnsi" w:cstheme="minorHAnsi"/>
          <w:sz w:val="24"/>
        </w:rPr>
        <w:t xml:space="preserve">data is based on </w:t>
      </w:r>
      <w:r w:rsidR="00AE2E51" w:rsidRPr="007C3425">
        <w:rPr>
          <w:rFonts w:asciiTheme="minorHAnsi" w:hAnsiTheme="minorHAnsi" w:cstheme="minorHAnsi"/>
          <w:sz w:val="24"/>
        </w:rPr>
        <w:t xml:space="preserve">the information staff have </w:t>
      </w:r>
      <w:r w:rsidR="00D32991" w:rsidRPr="007C3425">
        <w:rPr>
          <w:rFonts w:asciiTheme="minorHAnsi" w:hAnsiTheme="minorHAnsi" w:cstheme="minorHAnsi"/>
          <w:sz w:val="24"/>
        </w:rPr>
        <w:t xml:space="preserve">provided </w:t>
      </w:r>
      <w:r w:rsidR="00AE2E51" w:rsidRPr="007C3425">
        <w:rPr>
          <w:rFonts w:asciiTheme="minorHAnsi" w:hAnsiTheme="minorHAnsi" w:cstheme="minorHAnsi"/>
          <w:sz w:val="24"/>
        </w:rPr>
        <w:t xml:space="preserve">in relation to the Equality Act 2010 protected characteristic of </w:t>
      </w:r>
      <w:r w:rsidR="00C00082" w:rsidRPr="007C3425">
        <w:rPr>
          <w:rFonts w:asciiTheme="minorHAnsi" w:hAnsiTheme="minorHAnsi" w:cstheme="minorHAnsi"/>
          <w:sz w:val="24"/>
        </w:rPr>
        <w:t>sex</w:t>
      </w:r>
      <w:r w:rsidR="00AE2E51" w:rsidRPr="007C3425">
        <w:rPr>
          <w:rFonts w:asciiTheme="minorHAnsi" w:hAnsiTheme="minorHAnsi" w:cstheme="minorHAnsi"/>
          <w:sz w:val="24"/>
        </w:rPr>
        <w:t xml:space="preserve"> </w:t>
      </w:r>
      <w:r w:rsidR="007B34B7" w:rsidRPr="007C3425">
        <w:rPr>
          <w:rFonts w:asciiTheme="minorHAnsi" w:hAnsiTheme="minorHAnsi" w:cstheme="minorHAnsi"/>
          <w:sz w:val="24"/>
        </w:rPr>
        <w:t>(female</w:t>
      </w:r>
      <w:r w:rsidR="00AE2E51" w:rsidRPr="007C3425">
        <w:rPr>
          <w:rFonts w:asciiTheme="minorHAnsi" w:hAnsiTheme="minorHAnsi" w:cstheme="minorHAnsi"/>
          <w:sz w:val="24"/>
        </w:rPr>
        <w:t xml:space="preserve"> or male</w:t>
      </w:r>
      <w:r w:rsidR="007B34B7" w:rsidRPr="007C3425">
        <w:rPr>
          <w:rFonts w:asciiTheme="minorHAnsi" w:hAnsiTheme="minorHAnsi" w:cstheme="minorHAnsi"/>
          <w:sz w:val="24"/>
        </w:rPr>
        <w:t xml:space="preserve">). </w:t>
      </w:r>
      <w:r w:rsidRPr="007C3425">
        <w:rPr>
          <w:rFonts w:asciiTheme="minorHAnsi" w:hAnsiTheme="minorHAnsi" w:cstheme="minorHAnsi"/>
          <w:sz w:val="24"/>
        </w:rPr>
        <w:t xml:space="preserve">We hold information on the sex of 100% of our staff. </w:t>
      </w:r>
      <w:r w:rsidR="00187DC4" w:rsidRPr="007C3425">
        <w:rPr>
          <w:rFonts w:asciiTheme="minorHAnsi" w:hAnsiTheme="minorHAnsi" w:cstheme="minorHAnsi"/>
          <w:sz w:val="24"/>
        </w:rPr>
        <w:t xml:space="preserve">We recognise that </w:t>
      </w:r>
      <w:r w:rsidR="00D32991" w:rsidRPr="007C3425">
        <w:rPr>
          <w:rFonts w:asciiTheme="minorHAnsi" w:hAnsiTheme="minorHAnsi" w:cstheme="minorHAnsi"/>
          <w:sz w:val="24"/>
        </w:rPr>
        <w:t>some of our staff will have gender identities different to their sex.</w:t>
      </w:r>
      <w:r w:rsidR="00187DC4" w:rsidRPr="007C3425">
        <w:rPr>
          <w:rFonts w:asciiTheme="minorHAnsi" w:hAnsiTheme="minorHAnsi" w:cstheme="minorHAnsi"/>
          <w:sz w:val="24"/>
        </w:rPr>
        <w:t xml:space="preserve"> </w:t>
      </w:r>
      <w:r w:rsidR="00744558">
        <w:rPr>
          <w:rFonts w:asciiTheme="minorHAnsi" w:hAnsiTheme="minorHAnsi" w:cstheme="minorHAnsi"/>
          <w:sz w:val="24"/>
        </w:rPr>
        <w:t xml:space="preserve">In </w:t>
      </w:r>
      <w:r w:rsidR="00744558" w:rsidRPr="00E63764">
        <w:rPr>
          <w:rFonts w:asciiTheme="minorHAnsi" w:hAnsiTheme="minorHAnsi" w:cstheme="minorHAnsi"/>
          <w:sz w:val="24"/>
        </w:rPr>
        <w:t xml:space="preserve">2021 </w:t>
      </w:r>
      <w:r w:rsidR="00E63764" w:rsidRPr="00E63764">
        <w:rPr>
          <w:rFonts w:asciiTheme="minorHAnsi" w:hAnsiTheme="minorHAnsi" w:cstheme="minorHAnsi"/>
          <w:sz w:val="24"/>
        </w:rPr>
        <w:t>26.5</w:t>
      </w:r>
      <w:r w:rsidR="00EB2AAB" w:rsidRPr="00E63764">
        <w:rPr>
          <w:rFonts w:asciiTheme="minorHAnsi" w:hAnsiTheme="minorHAnsi" w:cstheme="minorHAnsi"/>
          <w:sz w:val="24"/>
        </w:rPr>
        <w:t>% of our staff have provided information on their gender identity</w:t>
      </w:r>
      <w:r w:rsidR="00D32991" w:rsidRPr="00E63764">
        <w:rPr>
          <w:rFonts w:asciiTheme="minorHAnsi" w:hAnsiTheme="minorHAnsi" w:cstheme="minorHAnsi"/>
          <w:sz w:val="24"/>
        </w:rPr>
        <w:t xml:space="preserve">, with </w:t>
      </w:r>
      <w:r w:rsidR="00E63764" w:rsidRPr="00E63764">
        <w:rPr>
          <w:rFonts w:asciiTheme="minorHAnsi" w:hAnsiTheme="minorHAnsi" w:cstheme="minorHAnsi"/>
          <w:sz w:val="24"/>
        </w:rPr>
        <w:t>0.2</w:t>
      </w:r>
      <w:r w:rsidR="00D32991" w:rsidRPr="00E63764">
        <w:rPr>
          <w:rFonts w:asciiTheme="minorHAnsi" w:hAnsiTheme="minorHAnsi" w:cstheme="minorHAnsi"/>
          <w:sz w:val="24"/>
        </w:rPr>
        <w:t xml:space="preserve">% </w:t>
      </w:r>
      <w:r w:rsidR="00D32991" w:rsidRPr="007C3425">
        <w:rPr>
          <w:rFonts w:asciiTheme="minorHAnsi" w:hAnsiTheme="minorHAnsi" w:cstheme="minorHAnsi"/>
          <w:sz w:val="24"/>
        </w:rPr>
        <w:t xml:space="preserve">having a gender identity </w:t>
      </w:r>
      <w:r w:rsidR="00E63764">
        <w:rPr>
          <w:rFonts w:asciiTheme="minorHAnsi" w:hAnsiTheme="minorHAnsi" w:cstheme="minorHAnsi"/>
          <w:sz w:val="24"/>
        </w:rPr>
        <w:t xml:space="preserve">that is </w:t>
      </w:r>
      <w:r w:rsidR="00D32991" w:rsidRPr="007C3425">
        <w:rPr>
          <w:rFonts w:asciiTheme="minorHAnsi" w:hAnsiTheme="minorHAnsi" w:cstheme="minorHAnsi"/>
          <w:sz w:val="24"/>
        </w:rPr>
        <w:t xml:space="preserve">different to their sex at birth. Where </w:t>
      </w:r>
      <w:r w:rsidR="00187DC4" w:rsidRPr="007C3425">
        <w:rPr>
          <w:rFonts w:asciiTheme="minorHAnsi" w:hAnsiTheme="minorHAnsi" w:cstheme="minorHAnsi"/>
          <w:sz w:val="24"/>
        </w:rPr>
        <w:t xml:space="preserve">staff </w:t>
      </w:r>
      <w:r w:rsidR="00D32991" w:rsidRPr="007C3425">
        <w:rPr>
          <w:rFonts w:asciiTheme="minorHAnsi" w:hAnsiTheme="minorHAnsi" w:cstheme="minorHAnsi"/>
          <w:sz w:val="24"/>
        </w:rPr>
        <w:t>h</w:t>
      </w:r>
      <w:r w:rsidR="00187DC4" w:rsidRPr="007C3425">
        <w:rPr>
          <w:rFonts w:asciiTheme="minorHAnsi" w:hAnsiTheme="minorHAnsi" w:cstheme="minorHAnsi"/>
          <w:sz w:val="24"/>
        </w:rPr>
        <w:t xml:space="preserve">ave </w:t>
      </w:r>
      <w:r w:rsidR="00D32991" w:rsidRPr="007C3425">
        <w:rPr>
          <w:rFonts w:asciiTheme="minorHAnsi" w:hAnsiTheme="minorHAnsi" w:cstheme="minorHAnsi"/>
          <w:sz w:val="24"/>
        </w:rPr>
        <w:t>a</w:t>
      </w:r>
      <w:r w:rsidR="00187DC4" w:rsidRPr="007C3425">
        <w:rPr>
          <w:rFonts w:asciiTheme="minorHAnsi" w:hAnsiTheme="minorHAnsi" w:cstheme="minorHAnsi"/>
          <w:sz w:val="24"/>
        </w:rPr>
        <w:t xml:space="preserve"> Gender Recognition Certificate</w:t>
      </w:r>
      <w:r w:rsidR="00F61798">
        <w:rPr>
          <w:rFonts w:asciiTheme="minorHAnsi" w:hAnsiTheme="minorHAnsi" w:cstheme="minorHAnsi"/>
          <w:sz w:val="24"/>
        </w:rPr>
        <w:t xml:space="preserve"> (GRC) </w:t>
      </w:r>
      <w:r w:rsidR="00D32991" w:rsidRPr="007C3425">
        <w:rPr>
          <w:rFonts w:asciiTheme="minorHAnsi" w:hAnsiTheme="minorHAnsi" w:cstheme="minorHAnsi"/>
          <w:sz w:val="24"/>
        </w:rPr>
        <w:t>their pay data</w:t>
      </w:r>
      <w:r w:rsidR="00187DC4" w:rsidRPr="007C3425">
        <w:rPr>
          <w:rFonts w:asciiTheme="minorHAnsi" w:hAnsiTheme="minorHAnsi" w:cstheme="minorHAnsi"/>
          <w:sz w:val="24"/>
        </w:rPr>
        <w:t xml:space="preserve"> will be </w:t>
      </w:r>
      <w:r w:rsidR="00D32991" w:rsidRPr="007C3425">
        <w:rPr>
          <w:rFonts w:asciiTheme="minorHAnsi" w:hAnsiTheme="minorHAnsi" w:cstheme="minorHAnsi"/>
          <w:sz w:val="24"/>
        </w:rPr>
        <w:t xml:space="preserve">categorised </w:t>
      </w:r>
      <w:r w:rsidR="00796381">
        <w:rPr>
          <w:rFonts w:asciiTheme="minorHAnsi" w:hAnsiTheme="minorHAnsi" w:cstheme="minorHAnsi"/>
          <w:sz w:val="24"/>
        </w:rPr>
        <w:t>by</w:t>
      </w:r>
      <w:r w:rsidR="00D32991" w:rsidRPr="007C3425">
        <w:rPr>
          <w:rFonts w:asciiTheme="minorHAnsi" w:hAnsiTheme="minorHAnsi" w:cstheme="minorHAnsi"/>
          <w:sz w:val="24"/>
        </w:rPr>
        <w:t xml:space="preserve"> the</w:t>
      </w:r>
      <w:r w:rsidR="00E63764">
        <w:rPr>
          <w:rFonts w:asciiTheme="minorHAnsi" w:hAnsiTheme="minorHAnsi" w:cstheme="minorHAnsi"/>
          <w:sz w:val="24"/>
        </w:rPr>
        <w:t>ir</w:t>
      </w:r>
      <w:r w:rsidR="00D32991" w:rsidRPr="007C3425">
        <w:rPr>
          <w:rFonts w:asciiTheme="minorHAnsi" w:hAnsiTheme="minorHAnsi" w:cstheme="minorHAnsi"/>
          <w:sz w:val="24"/>
        </w:rPr>
        <w:t xml:space="preserve"> sex</w:t>
      </w:r>
      <w:r w:rsidR="00E63764">
        <w:rPr>
          <w:rFonts w:asciiTheme="minorHAnsi" w:hAnsiTheme="minorHAnsi" w:cstheme="minorHAnsi"/>
          <w:sz w:val="24"/>
        </w:rPr>
        <w:t xml:space="preserve"> as stated</w:t>
      </w:r>
      <w:r w:rsidR="00D32991" w:rsidRPr="007C3425">
        <w:rPr>
          <w:rFonts w:asciiTheme="minorHAnsi" w:hAnsiTheme="minorHAnsi" w:cstheme="minorHAnsi"/>
          <w:sz w:val="24"/>
        </w:rPr>
        <w:t xml:space="preserve"> </w:t>
      </w:r>
      <w:r w:rsidR="00F61798">
        <w:rPr>
          <w:rFonts w:asciiTheme="minorHAnsi" w:hAnsiTheme="minorHAnsi" w:cstheme="minorHAnsi"/>
          <w:sz w:val="24"/>
        </w:rPr>
        <w:t>in their GRC</w:t>
      </w:r>
      <w:r w:rsidR="00D32991" w:rsidRPr="007C3425">
        <w:rPr>
          <w:rFonts w:asciiTheme="minorHAnsi" w:hAnsiTheme="minorHAnsi" w:cstheme="minorHAnsi"/>
          <w:sz w:val="24"/>
        </w:rPr>
        <w:t xml:space="preserve">. </w:t>
      </w:r>
    </w:p>
    <w:p w14:paraId="0E9EEE98" w14:textId="77777777" w:rsidR="00977169" w:rsidRDefault="00977169">
      <w:pPr>
        <w:rPr>
          <w:rFonts w:asciiTheme="minorHAnsi" w:hAnsiTheme="minorHAnsi" w:cstheme="minorHAnsi"/>
          <w:sz w:val="24"/>
        </w:rPr>
      </w:pPr>
      <w:r>
        <w:rPr>
          <w:rFonts w:asciiTheme="minorHAnsi" w:hAnsiTheme="minorHAnsi" w:cstheme="minorHAnsi"/>
          <w:sz w:val="24"/>
        </w:rPr>
        <w:br w:type="page"/>
      </w:r>
    </w:p>
    <w:p w14:paraId="39F4506B" w14:textId="75C1A754" w:rsidR="009429FF" w:rsidRPr="00744558" w:rsidRDefault="004E30C2" w:rsidP="007C3425">
      <w:pPr>
        <w:pStyle w:val="Heading1"/>
        <w:spacing w:line="276" w:lineRule="auto"/>
        <w:rPr>
          <w:rFonts w:asciiTheme="minorHAnsi" w:hAnsiTheme="minorHAnsi" w:cstheme="minorHAnsi"/>
          <w:color w:val="auto"/>
          <w:sz w:val="28"/>
          <w:szCs w:val="28"/>
        </w:rPr>
      </w:pPr>
      <w:r w:rsidRPr="00744558">
        <w:rPr>
          <w:rFonts w:asciiTheme="minorHAnsi" w:hAnsiTheme="minorHAnsi" w:cstheme="minorHAnsi"/>
          <w:color w:val="auto"/>
          <w:sz w:val="28"/>
          <w:szCs w:val="28"/>
        </w:rPr>
        <w:lastRenderedPageBreak/>
        <w:t xml:space="preserve">2021 </w:t>
      </w:r>
      <w:r w:rsidR="009429FF" w:rsidRPr="00744558">
        <w:rPr>
          <w:rFonts w:asciiTheme="minorHAnsi" w:hAnsiTheme="minorHAnsi" w:cstheme="minorHAnsi"/>
          <w:color w:val="auto"/>
          <w:sz w:val="28"/>
          <w:szCs w:val="28"/>
        </w:rPr>
        <w:t xml:space="preserve">Gender Pay </w:t>
      </w:r>
      <w:r w:rsidRPr="00744558">
        <w:rPr>
          <w:rFonts w:asciiTheme="minorHAnsi" w:hAnsiTheme="minorHAnsi" w:cstheme="minorHAnsi"/>
          <w:color w:val="auto"/>
          <w:sz w:val="28"/>
          <w:szCs w:val="28"/>
        </w:rPr>
        <w:t>Ga</w:t>
      </w:r>
      <w:r w:rsidR="009903BA" w:rsidRPr="00744558">
        <w:rPr>
          <w:rFonts w:asciiTheme="minorHAnsi" w:hAnsiTheme="minorHAnsi" w:cstheme="minorHAnsi"/>
          <w:color w:val="auto"/>
          <w:sz w:val="28"/>
          <w:szCs w:val="28"/>
        </w:rPr>
        <w:t>p data</w:t>
      </w:r>
      <w:r w:rsidR="001F344C">
        <w:rPr>
          <w:rFonts w:asciiTheme="minorHAnsi" w:hAnsiTheme="minorHAnsi" w:cstheme="minorHAnsi"/>
          <w:color w:val="auto"/>
          <w:sz w:val="28"/>
          <w:szCs w:val="28"/>
        </w:rPr>
        <w:t xml:space="preserve"> </w:t>
      </w:r>
    </w:p>
    <w:p w14:paraId="6E18E865" w14:textId="4C986F9D" w:rsidR="009903BA" w:rsidRPr="007C3425" w:rsidRDefault="009903BA" w:rsidP="007C3425">
      <w:pPr>
        <w:spacing w:line="276" w:lineRule="auto"/>
        <w:rPr>
          <w:rFonts w:asciiTheme="minorHAnsi" w:hAnsiTheme="minorHAnsi" w:cstheme="minorHAnsi"/>
          <w:sz w:val="24"/>
        </w:rPr>
      </w:pPr>
    </w:p>
    <w:p w14:paraId="10C06DB5" w14:textId="77777777" w:rsidR="009903BA" w:rsidRPr="007C3425" w:rsidRDefault="009903BA" w:rsidP="007C3425">
      <w:pPr>
        <w:spacing w:line="276" w:lineRule="auto"/>
        <w:rPr>
          <w:rFonts w:asciiTheme="minorHAnsi" w:hAnsiTheme="minorHAnsi" w:cstheme="minorHAnsi"/>
          <w:sz w:val="24"/>
        </w:rPr>
      </w:pPr>
    </w:p>
    <w:p w14:paraId="652F003D" w14:textId="2F206109" w:rsidR="009429FF" w:rsidRPr="007C3425" w:rsidRDefault="009429FF" w:rsidP="007C3425">
      <w:pPr>
        <w:pStyle w:val="Heading2"/>
        <w:spacing w:line="276" w:lineRule="auto"/>
        <w:rPr>
          <w:rFonts w:asciiTheme="minorHAnsi" w:hAnsiTheme="minorHAnsi" w:cstheme="minorHAnsi"/>
          <w:color w:val="auto"/>
          <w:sz w:val="24"/>
          <w:szCs w:val="24"/>
        </w:rPr>
      </w:pPr>
      <w:r w:rsidRPr="007C3425">
        <w:rPr>
          <w:rFonts w:asciiTheme="minorHAnsi" w:hAnsiTheme="minorHAnsi" w:cstheme="minorHAnsi"/>
          <w:color w:val="auto"/>
          <w:sz w:val="24"/>
          <w:szCs w:val="24"/>
        </w:rPr>
        <w:t>Hourly rate of pay by gender</w:t>
      </w:r>
    </w:p>
    <w:p w14:paraId="6285C9BE" w14:textId="44F664C1" w:rsidR="009429FF" w:rsidRPr="007C3425" w:rsidRDefault="009429FF" w:rsidP="007C3425">
      <w:pPr>
        <w:spacing w:line="276" w:lineRule="auto"/>
        <w:rPr>
          <w:rFonts w:asciiTheme="minorHAnsi" w:hAnsiTheme="minorHAnsi" w:cstheme="minorHAnsi"/>
          <w:sz w:val="24"/>
        </w:rPr>
      </w:pPr>
      <w:r w:rsidRPr="007C3425">
        <w:rPr>
          <w:rFonts w:asciiTheme="minorHAnsi" w:hAnsiTheme="minorHAnsi" w:cstheme="minorHAnsi"/>
          <w:sz w:val="24"/>
        </w:rPr>
        <w:t xml:space="preserve">The average hourly rate of pay for </w:t>
      </w:r>
      <w:r w:rsidR="00B74CD8">
        <w:rPr>
          <w:rFonts w:asciiTheme="minorHAnsi" w:hAnsiTheme="minorHAnsi" w:cstheme="minorHAnsi"/>
          <w:sz w:val="24"/>
        </w:rPr>
        <w:t>female staff</w:t>
      </w:r>
      <w:r w:rsidRPr="007C3425">
        <w:rPr>
          <w:rFonts w:asciiTheme="minorHAnsi" w:hAnsiTheme="minorHAnsi" w:cstheme="minorHAnsi"/>
          <w:sz w:val="24"/>
        </w:rPr>
        <w:t xml:space="preserve"> was 1</w:t>
      </w:r>
      <w:r w:rsidR="009253DE" w:rsidRPr="007C3425">
        <w:rPr>
          <w:rFonts w:asciiTheme="minorHAnsi" w:hAnsiTheme="minorHAnsi" w:cstheme="minorHAnsi"/>
          <w:sz w:val="24"/>
        </w:rPr>
        <w:t>7.1</w:t>
      </w:r>
      <w:r w:rsidRPr="007C3425">
        <w:rPr>
          <w:rFonts w:asciiTheme="minorHAnsi" w:hAnsiTheme="minorHAnsi" w:cstheme="minorHAnsi"/>
          <w:sz w:val="24"/>
        </w:rPr>
        <w:t>% lower (mean) or 1</w:t>
      </w:r>
      <w:r w:rsidR="009253DE" w:rsidRPr="007C3425">
        <w:rPr>
          <w:rFonts w:asciiTheme="minorHAnsi" w:hAnsiTheme="minorHAnsi" w:cstheme="minorHAnsi"/>
          <w:sz w:val="24"/>
        </w:rPr>
        <w:t>7</w:t>
      </w:r>
      <w:r w:rsidRPr="007C3425">
        <w:rPr>
          <w:rFonts w:asciiTheme="minorHAnsi" w:hAnsiTheme="minorHAnsi" w:cstheme="minorHAnsi"/>
          <w:sz w:val="24"/>
        </w:rPr>
        <w:t>.6% lower (median) than for m</w:t>
      </w:r>
      <w:r w:rsidR="00B74CD8">
        <w:rPr>
          <w:rFonts w:asciiTheme="minorHAnsi" w:hAnsiTheme="minorHAnsi" w:cstheme="minorHAnsi"/>
          <w:sz w:val="24"/>
        </w:rPr>
        <w:t>ales</w:t>
      </w:r>
      <w:r w:rsidRPr="007C3425">
        <w:rPr>
          <w:rFonts w:asciiTheme="minorHAnsi" w:hAnsiTheme="minorHAnsi" w:cstheme="minorHAnsi"/>
          <w:sz w:val="24"/>
        </w:rPr>
        <w:t>.</w:t>
      </w:r>
    </w:p>
    <w:p w14:paraId="4DE0E15E" w14:textId="4732A558" w:rsidR="009429FF" w:rsidRPr="007C3425" w:rsidRDefault="009429FF" w:rsidP="007C3425">
      <w:pPr>
        <w:spacing w:line="276" w:lineRule="auto"/>
        <w:rPr>
          <w:rFonts w:asciiTheme="minorHAnsi" w:hAnsiTheme="minorHAnsi" w:cstheme="minorHAnsi"/>
          <w:sz w:val="24"/>
        </w:rPr>
      </w:pPr>
    </w:p>
    <w:p w14:paraId="57CF5B78" w14:textId="482F9091" w:rsidR="009429FF" w:rsidRPr="007C3425" w:rsidRDefault="009429FF" w:rsidP="007C3425">
      <w:pPr>
        <w:pStyle w:val="Heading2"/>
        <w:spacing w:line="276" w:lineRule="auto"/>
        <w:rPr>
          <w:rFonts w:asciiTheme="minorHAnsi" w:hAnsiTheme="minorHAnsi" w:cstheme="minorHAnsi"/>
          <w:color w:val="auto"/>
          <w:sz w:val="24"/>
          <w:szCs w:val="24"/>
        </w:rPr>
      </w:pPr>
      <w:r w:rsidRPr="007C3425">
        <w:rPr>
          <w:rFonts w:asciiTheme="minorHAnsi" w:hAnsiTheme="minorHAnsi" w:cstheme="minorHAnsi"/>
          <w:color w:val="auto"/>
          <w:sz w:val="24"/>
          <w:szCs w:val="24"/>
        </w:rPr>
        <w:t>Bonus payments by gender</w:t>
      </w:r>
    </w:p>
    <w:p w14:paraId="7CFE04C5" w14:textId="24B0D30A" w:rsidR="009429FF" w:rsidRDefault="009253DE" w:rsidP="007C3425">
      <w:pPr>
        <w:spacing w:line="276" w:lineRule="auto"/>
        <w:rPr>
          <w:rFonts w:asciiTheme="minorHAnsi" w:hAnsiTheme="minorHAnsi" w:cstheme="minorHAnsi"/>
          <w:sz w:val="24"/>
        </w:rPr>
      </w:pPr>
      <w:r w:rsidRPr="007C3425">
        <w:rPr>
          <w:rFonts w:asciiTheme="minorHAnsi" w:hAnsiTheme="minorHAnsi" w:cstheme="minorHAnsi"/>
          <w:sz w:val="24"/>
        </w:rPr>
        <w:t>35.7</w:t>
      </w:r>
      <w:r w:rsidR="009429FF" w:rsidRPr="007C3425">
        <w:rPr>
          <w:rFonts w:asciiTheme="minorHAnsi" w:hAnsiTheme="minorHAnsi" w:cstheme="minorHAnsi"/>
          <w:sz w:val="24"/>
        </w:rPr>
        <w:t xml:space="preserve">% of </w:t>
      </w:r>
      <w:r w:rsidR="00B74CD8">
        <w:rPr>
          <w:rFonts w:asciiTheme="minorHAnsi" w:hAnsiTheme="minorHAnsi" w:cstheme="minorHAnsi"/>
          <w:sz w:val="24"/>
        </w:rPr>
        <w:t>our female staff</w:t>
      </w:r>
      <w:r w:rsidR="009429FF" w:rsidRPr="007C3425">
        <w:rPr>
          <w:rFonts w:asciiTheme="minorHAnsi" w:hAnsiTheme="minorHAnsi" w:cstheme="minorHAnsi"/>
          <w:sz w:val="24"/>
        </w:rPr>
        <w:t xml:space="preserve"> and </w:t>
      </w:r>
      <w:r w:rsidRPr="007C3425">
        <w:rPr>
          <w:rFonts w:asciiTheme="minorHAnsi" w:hAnsiTheme="minorHAnsi" w:cstheme="minorHAnsi"/>
          <w:sz w:val="24"/>
        </w:rPr>
        <w:t>24.9</w:t>
      </w:r>
      <w:r w:rsidR="009429FF" w:rsidRPr="007C3425">
        <w:rPr>
          <w:rFonts w:asciiTheme="minorHAnsi" w:hAnsiTheme="minorHAnsi" w:cstheme="minorHAnsi"/>
          <w:sz w:val="24"/>
        </w:rPr>
        <w:t>% of m</w:t>
      </w:r>
      <w:r w:rsidR="00B74CD8">
        <w:rPr>
          <w:rFonts w:asciiTheme="minorHAnsi" w:hAnsiTheme="minorHAnsi" w:cstheme="minorHAnsi"/>
          <w:sz w:val="24"/>
        </w:rPr>
        <w:t>ale staff</w:t>
      </w:r>
      <w:r w:rsidR="009429FF" w:rsidRPr="007C3425">
        <w:rPr>
          <w:rFonts w:asciiTheme="minorHAnsi" w:hAnsiTheme="minorHAnsi" w:cstheme="minorHAnsi"/>
          <w:sz w:val="24"/>
        </w:rPr>
        <w:t xml:space="preserve"> received a bonus payment during the census period. The average bonus pay for </w:t>
      </w:r>
      <w:r w:rsidR="00B74CD8">
        <w:rPr>
          <w:rFonts w:asciiTheme="minorHAnsi" w:hAnsiTheme="minorHAnsi" w:cstheme="minorHAnsi"/>
          <w:sz w:val="24"/>
        </w:rPr>
        <w:t>female staff</w:t>
      </w:r>
      <w:r w:rsidR="009429FF" w:rsidRPr="007C3425">
        <w:rPr>
          <w:rFonts w:asciiTheme="minorHAnsi" w:hAnsiTheme="minorHAnsi" w:cstheme="minorHAnsi"/>
          <w:sz w:val="24"/>
        </w:rPr>
        <w:t xml:space="preserve"> was 6</w:t>
      </w:r>
      <w:r w:rsidRPr="007C3425">
        <w:rPr>
          <w:rFonts w:asciiTheme="minorHAnsi" w:hAnsiTheme="minorHAnsi" w:cstheme="minorHAnsi"/>
          <w:sz w:val="24"/>
        </w:rPr>
        <w:t>9</w:t>
      </w:r>
      <w:r w:rsidR="009429FF" w:rsidRPr="007C3425">
        <w:rPr>
          <w:rFonts w:asciiTheme="minorHAnsi" w:hAnsiTheme="minorHAnsi" w:cstheme="minorHAnsi"/>
          <w:sz w:val="24"/>
        </w:rPr>
        <w:t>.</w:t>
      </w:r>
      <w:r w:rsidRPr="007C3425">
        <w:rPr>
          <w:rFonts w:asciiTheme="minorHAnsi" w:hAnsiTheme="minorHAnsi" w:cstheme="minorHAnsi"/>
          <w:sz w:val="24"/>
        </w:rPr>
        <w:t>2</w:t>
      </w:r>
      <w:r w:rsidR="009429FF" w:rsidRPr="007C3425">
        <w:rPr>
          <w:rFonts w:asciiTheme="minorHAnsi" w:hAnsiTheme="minorHAnsi" w:cstheme="minorHAnsi"/>
          <w:sz w:val="24"/>
        </w:rPr>
        <w:t xml:space="preserve">% lower (mean) or </w:t>
      </w:r>
      <w:r w:rsidRPr="007C3425">
        <w:rPr>
          <w:rFonts w:asciiTheme="minorHAnsi" w:hAnsiTheme="minorHAnsi" w:cstheme="minorHAnsi"/>
          <w:sz w:val="24"/>
        </w:rPr>
        <w:t>7.</w:t>
      </w:r>
      <w:r w:rsidR="009429FF" w:rsidRPr="007C3425">
        <w:rPr>
          <w:rFonts w:asciiTheme="minorHAnsi" w:hAnsiTheme="minorHAnsi" w:cstheme="minorHAnsi"/>
          <w:sz w:val="24"/>
        </w:rPr>
        <w:t>5% lower (median) than for m</w:t>
      </w:r>
      <w:r w:rsidR="00B74CD8">
        <w:rPr>
          <w:rFonts w:asciiTheme="minorHAnsi" w:hAnsiTheme="minorHAnsi" w:cstheme="minorHAnsi"/>
          <w:sz w:val="24"/>
        </w:rPr>
        <w:t>ales</w:t>
      </w:r>
      <w:r w:rsidR="009429FF" w:rsidRPr="007C3425">
        <w:rPr>
          <w:rFonts w:asciiTheme="minorHAnsi" w:hAnsiTheme="minorHAnsi" w:cstheme="minorHAnsi"/>
          <w:sz w:val="24"/>
        </w:rPr>
        <w:t>.</w:t>
      </w:r>
    </w:p>
    <w:p w14:paraId="47A43D2A" w14:textId="77777777" w:rsidR="009429FF" w:rsidRPr="007C3425" w:rsidRDefault="009429FF" w:rsidP="007C3425">
      <w:pPr>
        <w:spacing w:line="276" w:lineRule="auto"/>
        <w:rPr>
          <w:rFonts w:asciiTheme="minorHAnsi" w:hAnsiTheme="minorHAnsi" w:cstheme="minorHAnsi"/>
          <w:sz w:val="24"/>
        </w:rPr>
      </w:pPr>
    </w:p>
    <w:p w14:paraId="2BDB7BC9" w14:textId="77777777" w:rsidR="00744558" w:rsidRPr="007C3425" w:rsidRDefault="00744558" w:rsidP="00744558">
      <w:pPr>
        <w:pStyle w:val="Heading2"/>
        <w:spacing w:line="276" w:lineRule="auto"/>
        <w:rPr>
          <w:rFonts w:asciiTheme="minorHAnsi" w:hAnsiTheme="minorHAnsi" w:cstheme="minorHAnsi"/>
          <w:color w:val="auto"/>
          <w:sz w:val="24"/>
          <w:szCs w:val="24"/>
        </w:rPr>
      </w:pPr>
      <w:r w:rsidRPr="007C3425">
        <w:rPr>
          <w:rFonts w:asciiTheme="minorHAnsi" w:hAnsiTheme="minorHAnsi" w:cstheme="minorHAnsi"/>
          <w:color w:val="auto"/>
          <w:sz w:val="24"/>
          <w:szCs w:val="24"/>
        </w:rPr>
        <w:t>Staff Population</w:t>
      </w:r>
    </w:p>
    <w:p w14:paraId="1E288AA4" w14:textId="34D498BF" w:rsidR="00744558" w:rsidRPr="007C3425" w:rsidRDefault="00744558" w:rsidP="00744558">
      <w:pPr>
        <w:spacing w:line="276" w:lineRule="auto"/>
        <w:rPr>
          <w:rFonts w:asciiTheme="minorHAnsi" w:hAnsiTheme="minorHAnsi" w:cstheme="minorHAnsi"/>
          <w:sz w:val="24"/>
        </w:rPr>
      </w:pPr>
      <w:r w:rsidRPr="007C3425">
        <w:rPr>
          <w:rFonts w:asciiTheme="minorHAnsi" w:hAnsiTheme="minorHAnsi" w:cstheme="minorHAnsi"/>
          <w:sz w:val="24"/>
        </w:rPr>
        <w:t>4474 female staff and 3964 male staff (total 8438)</w:t>
      </w:r>
    </w:p>
    <w:p w14:paraId="145B6709" w14:textId="77777777" w:rsidR="00744558" w:rsidRPr="007C3425" w:rsidRDefault="00744558" w:rsidP="00744558">
      <w:pPr>
        <w:spacing w:line="276" w:lineRule="auto"/>
        <w:rPr>
          <w:rFonts w:asciiTheme="minorHAnsi" w:hAnsiTheme="minorHAnsi" w:cstheme="minorHAnsi"/>
          <w:sz w:val="24"/>
        </w:rPr>
      </w:pPr>
    </w:p>
    <w:p w14:paraId="118C7341" w14:textId="799EA12C" w:rsidR="00744558" w:rsidRDefault="00744558" w:rsidP="00744558">
      <w:pPr>
        <w:pStyle w:val="Heading2"/>
        <w:spacing w:line="276" w:lineRule="auto"/>
        <w:rPr>
          <w:rFonts w:asciiTheme="minorHAnsi" w:hAnsiTheme="minorHAnsi" w:cstheme="minorHAnsi"/>
          <w:color w:val="auto"/>
          <w:sz w:val="24"/>
          <w:szCs w:val="24"/>
        </w:rPr>
      </w:pPr>
      <w:r w:rsidRPr="007C3425">
        <w:rPr>
          <w:rFonts w:asciiTheme="minorHAnsi" w:hAnsiTheme="minorHAnsi" w:cstheme="minorHAnsi"/>
          <w:color w:val="auto"/>
          <w:sz w:val="24"/>
          <w:szCs w:val="24"/>
        </w:rPr>
        <w:t>Pay Quartiles</w:t>
      </w:r>
    </w:p>
    <w:p w14:paraId="559A1F27" w14:textId="5CED4BBE" w:rsidR="00744558" w:rsidRPr="00744558" w:rsidRDefault="00744558" w:rsidP="00744558">
      <w:pPr>
        <w:spacing w:line="276" w:lineRule="auto"/>
        <w:rPr>
          <w:rFonts w:asciiTheme="minorHAnsi" w:hAnsiTheme="minorHAnsi" w:cstheme="minorHAnsi"/>
          <w:sz w:val="24"/>
        </w:rPr>
      </w:pPr>
      <w:r w:rsidRPr="00744558">
        <w:rPr>
          <w:rFonts w:asciiTheme="minorHAnsi" w:hAnsiTheme="minorHAnsi" w:cstheme="minorHAnsi"/>
          <w:sz w:val="24"/>
        </w:rPr>
        <w:t xml:space="preserve">Our staff population is divided into four pay quartiles, from lowest to highest hourly pay. </w:t>
      </w:r>
      <w:r w:rsidR="00A77C9C">
        <w:rPr>
          <w:rFonts w:asciiTheme="minorHAnsi" w:hAnsiTheme="minorHAnsi" w:cstheme="minorHAnsi"/>
          <w:sz w:val="24"/>
        </w:rPr>
        <w:t xml:space="preserve">The pay quartiles reflect the relative seniority of staff. </w:t>
      </w:r>
      <w:r w:rsidRPr="00744558">
        <w:rPr>
          <w:rFonts w:asciiTheme="minorHAnsi" w:hAnsiTheme="minorHAnsi" w:cstheme="minorHAnsi"/>
          <w:sz w:val="24"/>
        </w:rPr>
        <w:t>There are significantly more</w:t>
      </w:r>
      <w:r w:rsidR="00B74CD8">
        <w:rPr>
          <w:rFonts w:asciiTheme="minorHAnsi" w:hAnsiTheme="minorHAnsi" w:cstheme="minorHAnsi"/>
          <w:sz w:val="24"/>
        </w:rPr>
        <w:t xml:space="preserve"> female staff</w:t>
      </w:r>
      <w:r w:rsidRPr="00744558">
        <w:rPr>
          <w:rFonts w:asciiTheme="minorHAnsi" w:hAnsiTheme="minorHAnsi" w:cstheme="minorHAnsi"/>
          <w:sz w:val="24"/>
        </w:rPr>
        <w:t xml:space="preserve"> in the lower pay quartile and more m</w:t>
      </w:r>
      <w:r w:rsidR="00B74CD8">
        <w:rPr>
          <w:rFonts w:asciiTheme="minorHAnsi" w:hAnsiTheme="minorHAnsi" w:cstheme="minorHAnsi"/>
          <w:sz w:val="24"/>
        </w:rPr>
        <w:t>ale staff</w:t>
      </w:r>
      <w:r w:rsidRPr="00744558">
        <w:rPr>
          <w:rFonts w:asciiTheme="minorHAnsi" w:hAnsiTheme="minorHAnsi" w:cstheme="minorHAnsi"/>
          <w:sz w:val="24"/>
        </w:rPr>
        <w:t xml:space="preserve"> in the top pay quartile. This difference in the </w:t>
      </w:r>
      <w:r>
        <w:rPr>
          <w:rFonts w:asciiTheme="minorHAnsi" w:hAnsiTheme="minorHAnsi" w:cstheme="minorHAnsi"/>
          <w:sz w:val="24"/>
        </w:rPr>
        <w:t>distribution</w:t>
      </w:r>
      <w:r w:rsidRPr="00744558">
        <w:rPr>
          <w:rFonts w:asciiTheme="minorHAnsi" w:hAnsiTheme="minorHAnsi" w:cstheme="minorHAnsi"/>
          <w:sz w:val="24"/>
        </w:rPr>
        <w:t xml:space="preserve"> of female and male staff</w:t>
      </w:r>
      <w:r w:rsidR="00B74CD8">
        <w:rPr>
          <w:rFonts w:asciiTheme="minorHAnsi" w:hAnsiTheme="minorHAnsi" w:cstheme="minorHAnsi"/>
          <w:sz w:val="24"/>
        </w:rPr>
        <w:t xml:space="preserve"> </w:t>
      </w:r>
      <w:r>
        <w:rPr>
          <w:rFonts w:asciiTheme="minorHAnsi" w:hAnsiTheme="minorHAnsi" w:cstheme="minorHAnsi"/>
          <w:sz w:val="24"/>
        </w:rPr>
        <w:t>has a significant impact on</w:t>
      </w:r>
      <w:r w:rsidR="00B74CD8">
        <w:rPr>
          <w:rFonts w:asciiTheme="minorHAnsi" w:hAnsiTheme="minorHAnsi" w:cstheme="minorHAnsi"/>
          <w:sz w:val="24"/>
        </w:rPr>
        <w:t xml:space="preserve"> average pay.</w:t>
      </w:r>
    </w:p>
    <w:p w14:paraId="542E33D1" w14:textId="77777777" w:rsidR="00744558" w:rsidRPr="007C3425" w:rsidRDefault="00744558" w:rsidP="00744558">
      <w:pPr>
        <w:spacing w:line="276" w:lineRule="auto"/>
        <w:rPr>
          <w:rFonts w:asciiTheme="minorHAnsi" w:hAnsiTheme="minorHAnsi" w:cstheme="minorHAnsi"/>
          <w:sz w:val="24"/>
        </w:rPr>
      </w:pPr>
    </w:p>
    <w:tbl>
      <w:tblPr>
        <w:tblStyle w:val="TableGrid"/>
        <w:tblW w:w="0" w:type="auto"/>
        <w:tblLook w:val="04A0" w:firstRow="1" w:lastRow="0" w:firstColumn="1" w:lastColumn="0" w:noHBand="0" w:noVBand="1"/>
      </w:tblPr>
      <w:tblGrid>
        <w:gridCol w:w="3004"/>
        <w:gridCol w:w="3003"/>
        <w:gridCol w:w="3003"/>
      </w:tblGrid>
      <w:tr w:rsidR="00744558" w:rsidRPr="007C3425" w14:paraId="2F316672" w14:textId="77777777" w:rsidTr="00DD70D8">
        <w:tc>
          <w:tcPr>
            <w:tcW w:w="3004" w:type="dxa"/>
          </w:tcPr>
          <w:p w14:paraId="0B86C367" w14:textId="77777777" w:rsidR="00744558" w:rsidRPr="007C3425" w:rsidRDefault="00744558" w:rsidP="00DD70D8">
            <w:pPr>
              <w:spacing w:line="276" w:lineRule="auto"/>
              <w:rPr>
                <w:rFonts w:asciiTheme="minorHAnsi" w:hAnsiTheme="minorHAnsi" w:cstheme="minorHAnsi"/>
                <w:sz w:val="24"/>
              </w:rPr>
            </w:pPr>
          </w:p>
        </w:tc>
        <w:tc>
          <w:tcPr>
            <w:tcW w:w="3003" w:type="dxa"/>
          </w:tcPr>
          <w:p w14:paraId="4C02FE2A"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Female</w:t>
            </w:r>
          </w:p>
        </w:tc>
        <w:tc>
          <w:tcPr>
            <w:tcW w:w="3003" w:type="dxa"/>
          </w:tcPr>
          <w:p w14:paraId="29DD707E"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Male</w:t>
            </w:r>
          </w:p>
        </w:tc>
      </w:tr>
      <w:tr w:rsidR="00744558" w:rsidRPr="007C3425" w14:paraId="3ABF486A" w14:textId="77777777" w:rsidTr="00DD70D8">
        <w:tc>
          <w:tcPr>
            <w:tcW w:w="3004" w:type="dxa"/>
          </w:tcPr>
          <w:p w14:paraId="1533E0A2"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Top quartile</w:t>
            </w:r>
          </w:p>
        </w:tc>
        <w:tc>
          <w:tcPr>
            <w:tcW w:w="3003" w:type="dxa"/>
          </w:tcPr>
          <w:p w14:paraId="023D69B1"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38.9%</w:t>
            </w:r>
          </w:p>
        </w:tc>
        <w:tc>
          <w:tcPr>
            <w:tcW w:w="3003" w:type="dxa"/>
          </w:tcPr>
          <w:p w14:paraId="090C5FAE"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61.1%</w:t>
            </w:r>
          </w:p>
        </w:tc>
      </w:tr>
      <w:tr w:rsidR="00744558" w:rsidRPr="007C3425" w14:paraId="253736A1" w14:textId="77777777" w:rsidTr="00DD70D8">
        <w:tc>
          <w:tcPr>
            <w:tcW w:w="3004" w:type="dxa"/>
          </w:tcPr>
          <w:p w14:paraId="5749EFCD"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Upper middle quartile</w:t>
            </w:r>
          </w:p>
        </w:tc>
        <w:tc>
          <w:tcPr>
            <w:tcW w:w="3003" w:type="dxa"/>
          </w:tcPr>
          <w:p w14:paraId="4A816C34"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52.2%</w:t>
            </w:r>
          </w:p>
        </w:tc>
        <w:tc>
          <w:tcPr>
            <w:tcW w:w="3003" w:type="dxa"/>
          </w:tcPr>
          <w:p w14:paraId="6220F3D6"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47.8%</w:t>
            </w:r>
          </w:p>
        </w:tc>
      </w:tr>
      <w:tr w:rsidR="00744558" w:rsidRPr="007C3425" w14:paraId="32CBFB45" w14:textId="77777777" w:rsidTr="00DD70D8">
        <w:tc>
          <w:tcPr>
            <w:tcW w:w="3004" w:type="dxa"/>
          </w:tcPr>
          <w:p w14:paraId="523788D1"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Lower middle quartile</w:t>
            </w:r>
          </w:p>
        </w:tc>
        <w:tc>
          <w:tcPr>
            <w:tcW w:w="3003" w:type="dxa"/>
          </w:tcPr>
          <w:p w14:paraId="37889AF5"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59.3%</w:t>
            </w:r>
          </w:p>
        </w:tc>
        <w:tc>
          <w:tcPr>
            <w:tcW w:w="3003" w:type="dxa"/>
          </w:tcPr>
          <w:p w14:paraId="0EAD8B77"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40.7%</w:t>
            </w:r>
          </w:p>
        </w:tc>
      </w:tr>
      <w:tr w:rsidR="00744558" w:rsidRPr="007C3425" w14:paraId="2CD4C537" w14:textId="77777777" w:rsidTr="00DD70D8">
        <w:tc>
          <w:tcPr>
            <w:tcW w:w="3004" w:type="dxa"/>
          </w:tcPr>
          <w:p w14:paraId="567351E5"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Lower quartile</w:t>
            </w:r>
          </w:p>
        </w:tc>
        <w:tc>
          <w:tcPr>
            <w:tcW w:w="3003" w:type="dxa"/>
          </w:tcPr>
          <w:p w14:paraId="21199124"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61.7%</w:t>
            </w:r>
          </w:p>
        </w:tc>
        <w:tc>
          <w:tcPr>
            <w:tcW w:w="3003" w:type="dxa"/>
          </w:tcPr>
          <w:p w14:paraId="6CE1C879" w14:textId="77777777" w:rsidR="00744558" w:rsidRPr="007C3425" w:rsidRDefault="00744558" w:rsidP="00DD70D8">
            <w:pPr>
              <w:spacing w:line="276" w:lineRule="auto"/>
              <w:rPr>
                <w:rFonts w:asciiTheme="minorHAnsi" w:hAnsiTheme="minorHAnsi" w:cstheme="minorHAnsi"/>
                <w:sz w:val="24"/>
              </w:rPr>
            </w:pPr>
            <w:r w:rsidRPr="007C3425">
              <w:rPr>
                <w:rFonts w:asciiTheme="minorHAnsi" w:hAnsiTheme="minorHAnsi" w:cstheme="minorHAnsi"/>
                <w:sz w:val="24"/>
              </w:rPr>
              <w:t>38.3%</w:t>
            </w:r>
          </w:p>
        </w:tc>
      </w:tr>
    </w:tbl>
    <w:p w14:paraId="043E560A" w14:textId="77777777" w:rsidR="00796381" w:rsidRDefault="00796381" w:rsidP="007C3425">
      <w:pPr>
        <w:spacing w:line="276" w:lineRule="auto"/>
        <w:rPr>
          <w:rFonts w:asciiTheme="minorHAnsi" w:hAnsiTheme="minorHAnsi" w:cstheme="minorHAnsi"/>
          <w:sz w:val="24"/>
        </w:rPr>
      </w:pPr>
    </w:p>
    <w:p w14:paraId="56840D79" w14:textId="6F6AB9DA" w:rsidR="006F26ED" w:rsidRPr="00B74CD8" w:rsidRDefault="00B74CD8" w:rsidP="007D0F44">
      <w:pPr>
        <w:pStyle w:val="Heading2"/>
        <w:spacing w:line="276" w:lineRule="auto"/>
      </w:pPr>
      <w:r w:rsidRPr="007D0F44">
        <w:rPr>
          <w:rFonts w:asciiTheme="minorHAnsi" w:hAnsiTheme="minorHAnsi" w:cstheme="minorHAnsi"/>
          <w:color w:val="auto"/>
          <w:sz w:val="24"/>
          <w:szCs w:val="24"/>
        </w:rPr>
        <w:t>Analysis</w:t>
      </w:r>
    </w:p>
    <w:p w14:paraId="69C3CCE0" w14:textId="17979348" w:rsidR="00E31F62" w:rsidRDefault="00E31F62" w:rsidP="006F26ED">
      <w:pPr>
        <w:spacing w:line="276" w:lineRule="auto"/>
        <w:ind w:left="720" w:hanging="720"/>
        <w:rPr>
          <w:rFonts w:asciiTheme="minorHAnsi" w:hAnsiTheme="minorHAnsi" w:cstheme="minorHAnsi"/>
          <w:sz w:val="24"/>
        </w:rPr>
      </w:pPr>
    </w:p>
    <w:p w14:paraId="3197B870" w14:textId="7F47E517" w:rsidR="00E31F62" w:rsidRPr="00A1131B" w:rsidRDefault="0013741D" w:rsidP="00A1131B">
      <w:pPr>
        <w:spacing w:line="276" w:lineRule="auto"/>
        <w:rPr>
          <w:rFonts w:asciiTheme="minorHAnsi" w:hAnsiTheme="minorHAnsi" w:cstheme="minorHAnsi"/>
          <w:sz w:val="24"/>
        </w:rPr>
      </w:pPr>
      <w:r>
        <w:rPr>
          <w:rFonts w:asciiTheme="minorHAnsi" w:hAnsiTheme="minorHAnsi" w:cstheme="minorHAnsi"/>
          <w:sz w:val="24"/>
        </w:rPr>
        <w:t>Since 2020 there</w:t>
      </w:r>
      <w:r w:rsidR="00E31F62" w:rsidRPr="00A1131B">
        <w:rPr>
          <w:rFonts w:asciiTheme="minorHAnsi" w:hAnsiTheme="minorHAnsi" w:cstheme="minorHAnsi"/>
          <w:sz w:val="24"/>
        </w:rPr>
        <w:t xml:space="preserve"> has</w:t>
      </w:r>
      <w:r w:rsidR="00A1131B">
        <w:rPr>
          <w:rFonts w:asciiTheme="minorHAnsi" w:hAnsiTheme="minorHAnsi" w:cstheme="minorHAnsi"/>
          <w:sz w:val="24"/>
        </w:rPr>
        <w:t xml:space="preserve"> </w:t>
      </w:r>
      <w:r w:rsidR="00E31F62" w:rsidRPr="00A1131B">
        <w:rPr>
          <w:rFonts w:asciiTheme="minorHAnsi" w:hAnsiTheme="minorHAnsi" w:cstheme="minorHAnsi"/>
          <w:sz w:val="24"/>
        </w:rPr>
        <w:t>been a positive shift in the gender pay gap</w:t>
      </w:r>
      <w:r w:rsidR="00A1131B">
        <w:rPr>
          <w:rFonts w:asciiTheme="minorHAnsi" w:hAnsiTheme="minorHAnsi" w:cstheme="minorHAnsi"/>
          <w:sz w:val="24"/>
        </w:rPr>
        <w:t xml:space="preserve">, from 18.3% to 17.1% (mean) and from 19.6% to 17.6% (median). </w:t>
      </w:r>
    </w:p>
    <w:p w14:paraId="2CD62935" w14:textId="77777777" w:rsidR="006F26ED" w:rsidRDefault="006F26ED" w:rsidP="006F26ED">
      <w:pPr>
        <w:spacing w:line="276" w:lineRule="auto"/>
        <w:ind w:left="720" w:hanging="720"/>
        <w:rPr>
          <w:rFonts w:asciiTheme="minorHAnsi" w:hAnsiTheme="minorHAnsi" w:cstheme="minorHAnsi"/>
          <w:sz w:val="24"/>
        </w:rPr>
      </w:pPr>
    </w:p>
    <w:p w14:paraId="737D60D3" w14:textId="1F79FDB7" w:rsidR="00767CD4" w:rsidRPr="007C3425" w:rsidRDefault="00767CD4" w:rsidP="00767CD4">
      <w:pPr>
        <w:tabs>
          <w:tab w:val="num" w:pos="0"/>
        </w:tabs>
        <w:spacing w:after="240" w:line="276" w:lineRule="auto"/>
        <w:outlineLvl w:val="8"/>
        <w:rPr>
          <w:rFonts w:asciiTheme="minorHAnsi" w:hAnsiTheme="minorHAnsi" w:cstheme="minorHAnsi"/>
          <w:sz w:val="24"/>
        </w:rPr>
      </w:pPr>
      <w:r w:rsidRPr="007C3425">
        <w:rPr>
          <w:rFonts w:asciiTheme="minorHAnsi" w:hAnsiTheme="minorHAnsi" w:cstheme="minorHAnsi"/>
          <w:sz w:val="24"/>
        </w:rPr>
        <w:t xml:space="preserve">The </w:t>
      </w:r>
      <w:r w:rsidR="0013741D">
        <w:rPr>
          <w:rFonts w:asciiTheme="minorHAnsi" w:hAnsiTheme="minorHAnsi" w:cstheme="minorHAnsi"/>
          <w:sz w:val="24"/>
        </w:rPr>
        <w:t xml:space="preserve">contrasting </w:t>
      </w:r>
      <w:r>
        <w:rPr>
          <w:rFonts w:asciiTheme="minorHAnsi" w:hAnsiTheme="minorHAnsi" w:cstheme="minorHAnsi"/>
          <w:sz w:val="24"/>
        </w:rPr>
        <w:t xml:space="preserve">growth in the </w:t>
      </w:r>
      <w:r w:rsidRPr="007C3425">
        <w:rPr>
          <w:rFonts w:asciiTheme="minorHAnsi" w:hAnsiTheme="minorHAnsi" w:cstheme="minorHAnsi"/>
          <w:sz w:val="24"/>
        </w:rPr>
        <w:t>mean bonus pay gap</w:t>
      </w:r>
      <w:r w:rsidR="00E82712">
        <w:rPr>
          <w:rFonts w:asciiTheme="minorHAnsi" w:hAnsiTheme="minorHAnsi" w:cstheme="minorHAnsi"/>
          <w:sz w:val="24"/>
        </w:rPr>
        <w:t xml:space="preserve"> and </w:t>
      </w:r>
      <w:r>
        <w:rPr>
          <w:rFonts w:asciiTheme="minorHAnsi" w:hAnsiTheme="minorHAnsi" w:cstheme="minorHAnsi"/>
          <w:sz w:val="24"/>
        </w:rPr>
        <w:t xml:space="preserve">reduction in </w:t>
      </w:r>
      <w:r w:rsidRPr="007C3425">
        <w:rPr>
          <w:rFonts w:asciiTheme="minorHAnsi" w:hAnsiTheme="minorHAnsi" w:cstheme="minorHAnsi"/>
          <w:sz w:val="24"/>
        </w:rPr>
        <w:t xml:space="preserve">the median bonus gap is </w:t>
      </w:r>
      <w:r w:rsidR="00A1131B">
        <w:rPr>
          <w:rFonts w:asciiTheme="minorHAnsi" w:hAnsiTheme="minorHAnsi" w:cstheme="minorHAnsi"/>
          <w:sz w:val="24"/>
        </w:rPr>
        <w:t xml:space="preserve">largely </w:t>
      </w:r>
      <w:r w:rsidRPr="007C3425">
        <w:rPr>
          <w:rFonts w:asciiTheme="minorHAnsi" w:hAnsiTheme="minorHAnsi" w:cstheme="minorHAnsi"/>
          <w:sz w:val="24"/>
        </w:rPr>
        <w:t xml:space="preserve">the result of </w:t>
      </w:r>
      <w:r>
        <w:rPr>
          <w:rFonts w:asciiTheme="minorHAnsi" w:hAnsiTheme="minorHAnsi" w:cstheme="minorHAnsi"/>
          <w:sz w:val="24"/>
        </w:rPr>
        <w:t xml:space="preserve">a </w:t>
      </w:r>
      <w:r w:rsidRPr="007C3425">
        <w:rPr>
          <w:rFonts w:asciiTheme="minorHAnsi" w:hAnsiTheme="minorHAnsi" w:cstheme="minorHAnsi"/>
          <w:sz w:val="24"/>
        </w:rPr>
        <w:t xml:space="preserve">one-off </w:t>
      </w:r>
      <w:r>
        <w:rPr>
          <w:rFonts w:asciiTheme="minorHAnsi" w:hAnsiTheme="minorHAnsi" w:cstheme="minorHAnsi"/>
          <w:sz w:val="24"/>
        </w:rPr>
        <w:t xml:space="preserve">bonus </w:t>
      </w:r>
      <w:r w:rsidRPr="007C3425">
        <w:rPr>
          <w:rFonts w:asciiTheme="minorHAnsi" w:hAnsiTheme="minorHAnsi" w:cstheme="minorHAnsi"/>
          <w:sz w:val="24"/>
        </w:rPr>
        <w:t>payment</w:t>
      </w:r>
      <w:r>
        <w:rPr>
          <w:rFonts w:asciiTheme="minorHAnsi" w:hAnsiTheme="minorHAnsi" w:cstheme="minorHAnsi"/>
          <w:sz w:val="24"/>
        </w:rPr>
        <w:t xml:space="preserve"> </w:t>
      </w:r>
      <w:r w:rsidR="0013741D">
        <w:rPr>
          <w:rFonts w:asciiTheme="minorHAnsi" w:hAnsiTheme="minorHAnsi" w:cstheme="minorHAnsi"/>
          <w:sz w:val="24"/>
        </w:rPr>
        <w:t xml:space="preserve">made </w:t>
      </w:r>
      <w:r>
        <w:rPr>
          <w:rFonts w:asciiTheme="minorHAnsi" w:hAnsiTheme="minorHAnsi" w:cstheme="minorHAnsi"/>
          <w:sz w:val="24"/>
        </w:rPr>
        <w:t xml:space="preserve">to all Professional Services staff in </w:t>
      </w:r>
      <w:r w:rsidR="00524810">
        <w:rPr>
          <w:rFonts w:asciiTheme="minorHAnsi" w:hAnsiTheme="minorHAnsi" w:cstheme="minorHAnsi"/>
          <w:sz w:val="24"/>
        </w:rPr>
        <w:t>S</w:t>
      </w:r>
      <w:r>
        <w:rPr>
          <w:rFonts w:asciiTheme="minorHAnsi" w:hAnsiTheme="minorHAnsi" w:cstheme="minorHAnsi"/>
          <w:sz w:val="24"/>
        </w:rPr>
        <w:t>upport roles. This has</w:t>
      </w:r>
      <w:r w:rsidRPr="007C3425">
        <w:rPr>
          <w:rFonts w:asciiTheme="minorHAnsi" w:hAnsiTheme="minorHAnsi" w:cstheme="minorHAnsi"/>
          <w:sz w:val="24"/>
        </w:rPr>
        <w:t xml:space="preserve"> double</w:t>
      </w:r>
      <w:r>
        <w:rPr>
          <w:rFonts w:asciiTheme="minorHAnsi" w:hAnsiTheme="minorHAnsi" w:cstheme="minorHAnsi"/>
          <w:sz w:val="24"/>
        </w:rPr>
        <w:t>d</w:t>
      </w:r>
      <w:r w:rsidRPr="007C3425">
        <w:rPr>
          <w:rFonts w:asciiTheme="minorHAnsi" w:hAnsiTheme="minorHAnsi" w:cstheme="minorHAnsi"/>
          <w:sz w:val="24"/>
        </w:rPr>
        <w:t xml:space="preserve"> the proportion of male </w:t>
      </w:r>
      <w:r w:rsidR="00524810">
        <w:rPr>
          <w:rFonts w:asciiTheme="minorHAnsi" w:hAnsiTheme="minorHAnsi" w:cstheme="minorHAnsi"/>
          <w:sz w:val="24"/>
        </w:rPr>
        <w:t>staff</w:t>
      </w:r>
      <w:r w:rsidRPr="007C3425">
        <w:rPr>
          <w:rFonts w:asciiTheme="minorHAnsi" w:hAnsiTheme="minorHAnsi" w:cstheme="minorHAnsi"/>
          <w:sz w:val="24"/>
        </w:rPr>
        <w:t xml:space="preserve"> and triple</w:t>
      </w:r>
      <w:r>
        <w:rPr>
          <w:rFonts w:asciiTheme="minorHAnsi" w:hAnsiTheme="minorHAnsi" w:cstheme="minorHAnsi"/>
          <w:sz w:val="24"/>
        </w:rPr>
        <w:t>d</w:t>
      </w:r>
      <w:r w:rsidRPr="007C3425">
        <w:rPr>
          <w:rFonts w:asciiTheme="minorHAnsi" w:hAnsiTheme="minorHAnsi" w:cstheme="minorHAnsi"/>
          <w:sz w:val="24"/>
        </w:rPr>
        <w:t xml:space="preserve"> the proportion of female </w:t>
      </w:r>
      <w:r w:rsidR="00524810">
        <w:rPr>
          <w:rFonts w:asciiTheme="minorHAnsi" w:hAnsiTheme="minorHAnsi" w:cstheme="minorHAnsi"/>
          <w:sz w:val="24"/>
        </w:rPr>
        <w:t>staff</w:t>
      </w:r>
      <w:r w:rsidRPr="007C3425">
        <w:rPr>
          <w:rFonts w:asciiTheme="minorHAnsi" w:hAnsiTheme="minorHAnsi" w:cstheme="minorHAnsi"/>
          <w:sz w:val="24"/>
        </w:rPr>
        <w:t xml:space="preserve"> receiving bonuses compared to 2020</w:t>
      </w:r>
      <w:r w:rsidR="00524810">
        <w:rPr>
          <w:rFonts w:asciiTheme="minorHAnsi" w:hAnsiTheme="minorHAnsi" w:cstheme="minorHAnsi"/>
          <w:sz w:val="24"/>
        </w:rPr>
        <w:t xml:space="preserve">. </w:t>
      </w:r>
      <w:r w:rsidR="003F5065">
        <w:rPr>
          <w:rFonts w:asciiTheme="minorHAnsi" w:hAnsiTheme="minorHAnsi" w:cstheme="minorHAnsi"/>
          <w:sz w:val="24"/>
        </w:rPr>
        <w:t>In turn, the increased number of bonuses means the ‘middle value’ median average for male and female bonuses falls in the Support staff range of awards.</w:t>
      </w:r>
    </w:p>
    <w:p w14:paraId="6A65B15A" w14:textId="14913720" w:rsidR="006F26ED" w:rsidRDefault="006F26ED" w:rsidP="006F26ED">
      <w:pPr>
        <w:spacing w:line="276" w:lineRule="auto"/>
        <w:rPr>
          <w:rFonts w:asciiTheme="minorHAnsi" w:hAnsiTheme="minorHAnsi" w:cstheme="minorHAnsi"/>
          <w:sz w:val="24"/>
        </w:rPr>
      </w:pPr>
      <w:r w:rsidRPr="007C3425">
        <w:rPr>
          <w:rFonts w:asciiTheme="minorHAnsi" w:hAnsiTheme="minorHAnsi" w:cstheme="minorHAnsi"/>
          <w:sz w:val="24"/>
        </w:rPr>
        <w:lastRenderedPageBreak/>
        <w:t xml:space="preserve">The </w:t>
      </w:r>
      <w:r w:rsidR="00F84AA9">
        <w:rPr>
          <w:rFonts w:asciiTheme="minorHAnsi" w:hAnsiTheme="minorHAnsi" w:cstheme="minorHAnsi"/>
          <w:sz w:val="24"/>
        </w:rPr>
        <w:t xml:space="preserve">mean </w:t>
      </w:r>
      <w:r>
        <w:rPr>
          <w:rFonts w:asciiTheme="minorHAnsi" w:hAnsiTheme="minorHAnsi" w:cstheme="minorHAnsi"/>
          <w:sz w:val="24"/>
        </w:rPr>
        <w:t>average</w:t>
      </w:r>
      <w:r w:rsidR="00F84AA9">
        <w:rPr>
          <w:rFonts w:asciiTheme="minorHAnsi" w:hAnsiTheme="minorHAnsi" w:cstheme="minorHAnsi"/>
          <w:sz w:val="24"/>
        </w:rPr>
        <w:t xml:space="preserve"> is more strongly influenced </w:t>
      </w:r>
      <w:r w:rsidR="00E82712">
        <w:rPr>
          <w:rFonts w:asciiTheme="minorHAnsi" w:hAnsiTheme="minorHAnsi" w:cstheme="minorHAnsi"/>
          <w:sz w:val="24"/>
        </w:rPr>
        <w:t xml:space="preserve">by extreme values. In 2021, the </w:t>
      </w:r>
      <w:r w:rsidRPr="007C3425">
        <w:rPr>
          <w:rFonts w:asciiTheme="minorHAnsi" w:hAnsiTheme="minorHAnsi" w:cstheme="minorHAnsi"/>
          <w:sz w:val="24"/>
        </w:rPr>
        <w:t xml:space="preserve">top pay quartile </w:t>
      </w:r>
      <w:r w:rsidR="00F84AA9">
        <w:rPr>
          <w:rFonts w:asciiTheme="minorHAnsi" w:hAnsiTheme="minorHAnsi" w:cstheme="minorHAnsi"/>
          <w:sz w:val="24"/>
        </w:rPr>
        <w:t xml:space="preserve">being </w:t>
      </w:r>
      <w:r w:rsidRPr="007C3425">
        <w:rPr>
          <w:rFonts w:asciiTheme="minorHAnsi" w:hAnsiTheme="minorHAnsi" w:cstheme="minorHAnsi"/>
          <w:sz w:val="24"/>
        </w:rPr>
        <w:t xml:space="preserve">majority male </w:t>
      </w:r>
      <w:r w:rsidR="00E82712">
        <w:rPr>
          <w:rFonts w:asciiTheme="minorHAnsi" w:hAnsiTheme="minorHAnsi" w:cstheme="minorHAnsi"/>
          <w:sz w:val="24"/>
        </w:rPr>
        <w:t>(</w:t>
      </w:r>
      <w:r w:rsidRPr="007C3425">
        <w:rPr>
          <w:rFonts w:asciiTheme="minorHAnsi" w:hAnsiTheme="minorHAnsi" w:cstheme="minorHAnsi"/>
          <w:sz w:val="24"/>
        </w:rPr>
        <w:t>and</w:t>
      </w:r>
      <w:r>
        <w:rPr>
          <w:rFonts w:asciiTheme="minorHAnsi" w:hAnsiTheme="minorHAnsi" w:cstheme="minorHAnsi"/>
          <w:sz w:val="24"/>
        </w:rPr>
        <w:t xml:space="preserve"> </w:t>
      </w:r>
      <w:r w:rsidR="00F84AA9">
        <w:rPr>
          <w:rFonts w:asciiTheme="minorHAnsi" w:hAnsiTheme="minorHAnsi" w:cstheme="minorHAnsi"/>
          <w:sz w:val="24"/>
        </w:rPr>
        <w:t>bonuses awarded to staff in this range being</w:t>
      </w:r>
      <w:r>
        <w:rPr>
          <w:rFonts w:asciiTheme="minorHAnsi" w:hAnsiTheme="minorHAnsi" w:cstheme="minorHAnsi"/>
          <w:sz w:val="24"/>
        </w:rPr>
        <w:t xml:space="preserve"> reflective of top quartile salaries</w:t>
      </w:r>
      <w:r w:rsidR="00E82712">
        <w:rPr>
          <w:rFonts w:asciiTheme="minorHAnsi" w:hAnsiTheme="minorHAnsi" w:cstheme="minorHAnsi"/>
          <w:sz w:val="24"/>
        </w:rPr>
        <w:t>), combined with the</w:t>
      </w:r>
      <w:r w:rsidR="00F84AA9">
        <w:rPr>
          <w:rFonts w:asciiTheme="minorHAnsi" w:hAnsiTheme="minorHAnsi" w:cstheme="minorHAnsi"/>
          <w:sz w:val="24"/>
        </w:rPr>
        <w:t xml:space="preserve"> increased number of female Support staff</w:t>
      </w:r>
      <w:r w:rsidR="00E82712">
        <w:rPr>
          <w:rFonts w:asciiTheme="minorHAnsi" w:hAnsiTheme="minorHAnsi" w:cstheme="minorHAnsi"/>
          <w:sz w:val="24"/>
        </w:rPr>
        <w:t xml:space="preserve"> receiving a bonus payment (whose salaries fall in the lower pay quartile), has caused an increase in the mean average bonus pay gap.  </w:t>
      </w:r>
    </w:p>
    <w:p w14:paraId="4735B08E" w14:textId="71C31A44" w:rsidR="00E82712" w:rsidRDefault="00E82712" w:rsidP="006F26ED">
      <w:pPr>
        <w:spacing w:line="276" w:lineRule="auto"/>
        <w:rPr>
          <w:rFonts w:asciiTheme="minorHAnsi" w:hAnsiTheme="minorHAnsi" w:cstheme="minorHAnsi"/>
          <w:sz w:val="24"/>
        </w:rPr>
      </w:pPr>
    </w:p>
    <w:p w14:paraId="21A2838E" w14:textId="4AC83458" w:rsidR="00E82712" w:rsidRPr="007C3425" w:rsidRDefault="00E82712" w:rsidP="00E82712">
      <w:pPr>
        <w:spacing w:line="276" w:lineRule="auto"/>
        <w:rPr>
          <w:rFonts w:asciiTheme="minorHAnsi" w:hAnsiTheme="minorHAnsi" w:cstheme="minorHAnsi"/>
          <w:sz w:val="24"/>
        </w:rPr>
      </w:pPr>
      <w:r>
        <w:rPr>
          <w:rFonts w:asciiTheme="minorHAnsi" w:hAnsiTheme="minorHAnsi" w:cstheme="minorHAnsi"/>
          <w:sz w:val="24"/>
        </w:rPr>
        <w:t xml:space="preserve">Out bonus pay gap calculations also include NHS </w:t>
      </w:r>
      <w:r w:rsidRPr="007C3425">
        <w:rPr>
          <w:rFonts w:asciiTheme="minorHAnsi" w:hAnsiTheme="minorHAnsi" w:cstheme="minorHAnsi"/>
          <w:sz w:val="24"/>
        </w:rPr>
        <w:t>Clinical Excellence Awards</w:t>
      </w:r>
      <w:r>
        <w:rPr>
          <w:rFonts w:asciiTheme="minorHAnsi" w:hAnsiTheme="minorHAnsi" w:cstheme="minorHAnsi"/>
          <w:sz w:val="24"/>
        </w:rPr>
        <w:t xml:space="preserve"> made to staff in our College of Medical &amp; Dental Sciences. These are typically staff in the upper pay quartile and the awards are made by the NHS, not the University. </w:t>
      </w:r>
    </w:p>
    <w:p w14:paraId="64D38502" w14:textId="77777777" w:rsidR="00E82712" w:rsidRDefault="00E82712" w:rsidP="006F26ED">
      <w:pPr>
        <w:spacing w:line="276" w:lineRule="auto"/>
        <w:rPr>
          <w:rFonts w:asciiTheme="minorHAnsi" w:hAnsiTheme="minorHAnsi" w:cstheme="minorHAnsi"/>
          <w:sz w:val="24"/>
        </w:rPr>
      </w:pPr>
    </w:p>
    <w:p w14:paraId="09FE5413" w14:textId="7CEC16F8" w:rsidR="00E82712" w:rsidRDefault="00E82712" w:rsidP="006F26ED">
      <w:pPr>
        <w:spacing w:line="276" w:lineRule="auto"/>
        <w:rPr>
          <w:rFonts w:asciiTheme="minorHAnsi" w:hAnsiTheme="minorHAnsi" w:cstheme="minorHAnsi"/>
          <w:sz w:val="24"/>
        </w:rPr>
      </w:pPr>
    </w:p>
    <w:p w14:paraId="5A51BC2F" w14:textId="77777777" w:rsidR="006F26ED" w:rsidRDefault="006F26ED" w:rsidP="006F26ED">
      <w:pPr>
        <w:spacing w:line="276" w:lineRule="auto"/>
        <w:ind w:left="720" w:hanging="720"/>
        <w:rPr>
          <w:rFonts w:asciiTheme="minorHAnsi" w:hAnsiTheme="minorHAnsi" w:cstheme="minorHAnsi"/>
          <w:sz w:val="24"/>
        </w:rPr>
      </w:pPr>
    </w:p>
    <w:p w14:paraId="0CAD45E6" w14:textId="7EF2346C" w:rsidR="00DE5099" w:rsidRDefault="00DE5099">
      <w:pPr>
        <w:rPr>
          <w:rFonts w:asciiTheme="minorHAnsi" w:hAnsiTheme="minorHAnsi" w:cstheme="minorHAnsi"/>
          <w:sz w:val="24"/>
        </w:rPr>
      </w:pPr>
      <w:r>
        <w:rPr>
          <w:rFonts w:asciiTheme="minorHAnsi" w:hAnsiTheme="minorHAnsi" w:cstheme="minorHAnsi"/>
          <w:sz w:val="24"/>
        </w:rPr>
        <w:br w:type="page"/>
      </w:r>
    </w:p>
    <w:p w14:paraId="3CBD763C" w14:textId="1BCDEB92" w:rsidR="00343733" w:rsidRPr="006D3537" w:rsidRDefault="00B70174" w:rsidP="006D3537">
      <w:pPr>
        <w:pStyle w:val="Heading1"/>
        <w:spacing w:line="276" w:lineRule="auto"/>
        <w:rPr>
          <w:rFonts w:asciiTheme="minorHAnsi" w:hAnsiTheme="minorHAnsi" w:cstheme="minorHAnsi"/>
          <w:color w:val="auto"/>
          <w:sz w:val="28"/>
          <w:szCs w:val="28"/>
        </w:rPr>
      </w:pPr>
      <w:bookmarkStart w:id="0" w:name="_Hlk88474463"/>
      <w:r w:rsidRPr="006D3537">
        <w:rPr>
          <w:rFonts w:asciiTheme="minorHAnsi" w:hAnsiTheme="minorHAnsi" w:cstheme="minorHAnsi"/>
          <w:color w:val="auto"/>
          <w:sz w:val="28"/>
          <w:szCs w:val="28"/>
        </w:rPr>
        <w:lastRenderedPageBreak/>
        <w:t xml:space="preserve">Actions </w:t>
      </w:r>
    </w:p>
    <w:bookmarkEnd w:id="0"/>
    <w:p w14:paraId="7AEF7097" w14:textId="77777777" w:rsidR="006F349B" w:rsidRDefault="006F349B" w:rsidP="006F349B">
      <w:pPr>
        <w:spacing w:line="276" w:lineRule="auto"/>
        <w:rPr>
          <w:rFonts w:asciiTheme="minorHAnsi" w:hAnsiTheme="minorHAnsi" w:cstheme="minorHAnsi"/>
          <w:b/>
          <w:sz w:val="24"/>
        </w:rPr>
      </w:pPr>
    </w:p>
    <w:p w14:paraId="4EBF5840" w14:textId="77777777" w:rsidR="006F349B" w:rsidRDefault="006F349B" w:rsidP="006F349B">
      <w:pPr>
        <w:spacing w:line="276" w:lineRule="auto"/>
        <w:rPr>
          <w:rFonts w:asciiTheme="minorHAnsi" w:hAnsiTheme="minorHAnsi" w:cstheme="minorHAnsi"/>
          <w:sz w:val="24"/>
        </w:rPr>
      </w:pPr>
      <w:r>
        <w:rPr>
          <w:rFonts w:asciiTheme="minorHAnsi" w:hAnsiTheme="minorHAnsi" w:cstheme="minorHAnsi"/>
          <w:sz w:val="24"/>
        </w:rPr>
        <w:t>2021 marks our</w:t>
      </w:r>
      <w:r w:rsidRPr="007C3425">
        <w:rPr>
          <w:rFonts w:asciiTheme="minorHAnsi" w:hAnsiTheme="minorHAnsi" w:cstheme="minorHAnsi"/>
          <w:sz w:val="24"/>
        </w:rPr>
        <w:t xml:space="preserve"> 5</w:t>
      </w:r>
      <w:r w:rsidRPr="00966EA4">
        <w:rPr>
          <w:rFonts w:asciiTheme="minorHAnsi" w:hAnsiTheme="minorHAnsi" w:cstheme="minorHAnsi"/>
          <w:sz w:val="24"/>
        </w:rPr>
        <w:t>th</w:t>
      </w:r>
      <w:r w:rsidRPr="007C3425">
        <w:rPr>
          <w:rFonts w:asciiTheme="minorHAnsi" w:hAnsiTheme="minorHAnsi" w:cstheme="minorHAnsi"/>
          <w:sz w:val="24"/>
        </w:rPr>
        <w:t xml:space="preserve"> year of reporting on </w:t>
      </w:r>
      <w:r>
        <w:rPr>
          <w:rFonts w:asciiTheme="minorHAnsi" w:hAnsiTheme="minorHAnsi" w:cstheme="minorHAnsi"/>
          <w:sz w:val="24"/>
        </w:rPr>
        <w:t>the University’s</w:t>
      </w:r>
      <w:r w:rsidRPr="007C3425">
        <w:rPr>
          <w:rFonts w:asciiTheme="minorHAnsi" w:hAnsiTheme="minorHAnsi" w:cstheme="minorHAnsi"/>
          <w:sz w:val="24"/>
        </w:rPr>
        <w:t xml:space="preserve"> gender pay gap</w:t>
      </w:r>
      <w:r>
        <w:rPr>
          <w:rFonts w:asciiTheme="minorHAnsi" w:hAnsiTheme="minorHAnsi" w:cstheme="minorHAnsi"/>
          <w:sz w:val="24"/>
        </w:rPr>
        <w:t xml:space="preserve">. In our first pay gap report in 2017 we undertook a commitment to significantly reduce our gender pay gap, recognising that effective change would need to be sustainable and address the root causes of differences in average pay. </w:t>
      </w:r>
    </w:p>
    <w:p w14:paraId="1DA971C8" w14:textId="77777777" w:rsidR="006F349B" w:rsidRDefault="006F349B" w:rsidP="006F349B">
      <w:pPr>
        <w:spacing w:line="276" w:lineRule="auto"/>
        <w:ind w:left="720" w:hanging="720"/>
        <w:rPr>
          <w:rFonts w:asciiTheme="minorHAnsi" w:hAnsiTheme="minorHAnsi" w:cstheme="minorHAnsi"/>
          <w:sz w:val="24"/>
        </w:rPr>
      </w:pPr>
    </w:p>
    <w:p w14:paraId="087EDA07" w14:textId="77777777" w:rsidR="006F349B" w:rsidRDefault="006F349B" w:rsidP="006F349B">
      <w:pPr>
        <w:spacing w:line="276" w:lineRule="auto"/>
        <w:rPr>
          <w:rFonts w:asciiTheme="minorHAnsi" w:hAnsiTheme="minorHAnsi" w:cstheme="minorHAnsi"/>
          <w:sz w:val="24"/>
        </w:rPr>
      </w:pPr>
      <w:r>
        <w:rPr>
          <w:rFonts w:asciiTheme="minorHAnsi" w:hAnsiTheme="minorHAnsi" w:cstheme="minorHAnsi"/>
          <w:sz w:val="24"/>
        </w:rPr>
        <w:t>Since 2017 we have instigated a range of actions to support a more even distribution of male and female staff at all levels of the University, to enhance the recruitment, progression and retention of our female staff and to increase the proportion of female staff in senior positions. This includes:</w:t>
      </w:r>
    </w:p>
    <w:p w14:paraId="582CF247" w14:textId="77777777" w:rsidR="006F349B" w:rsidRDefault="006F349B" w:rsidP="006F349B">
      <w:pPr>
        <w:spacing w:line="276" w:lineRule="auto"/>
        <w:ind w:left="720" w:hanging="720"/>
        <w:rPr>
          <w:rFonts w:asciiTheme="minorHAnsi" w:hAnsiTheme="minorHAnsi" w:cstheme="minorHAnsi"/>
          <w:sz w:val="24"/>
        </w:rPr>
      </w:pPr>
    </w:p>
    <w:p w14:paraId="4F577485" w14:textId="639ACE52" w:rsidR="006F349B" w:rsidRPr="006D3537" w:rsidRDefault="006F349B" w:rsidP="006D3537">
      <w:pPr>
        <w:pStyle w:val="Heading2"/>
        <w:spacing w:line="276" w:lineRule="auto"/>
        <w:rPr>
          <w:rFonts w:asciiTheme="minorHAnsi" w:hAnsiTheme="minorHAnsi" w:cstheme="minorHAnsi"/>
          <w:color w:val="auto"/>
          <w:sz w:val="24"/>
          <w:szCs w:val="24"/>
        </w:rPr>
      </w:pPr>
      <w:r w:rsidRPr="006D3537">
        <w:rPr>
          <w:rFonts w:asciiTheme="minorHAnsi" w:hAnsiTheme="minorHAnsi" w:cstheme="minorHAnsi"/>
          <w:color w:val="auto"/>
          <w:sz w:val="24"/>
          <w:szCs w:val="24"/>
        </w:rPr>
        <w:t xml:space="preserve">Setting </w:t>
      </w:r>
      <w:r w:rsidR="003F5065">
        <w:rPr>
          <w:rFonts w:asciiTheme="minorHAnsi" w:hAnsiTheme="minorHAnsi" w:cstheme="minorHAnsi"/>
          <w:color w:val="auto"/>
          <w:sz w:val="24"/>
          <w:szCs w:val="24"/>
        </w:rPr>
        <w:t>success measures</w:t>
      </w:r>
      <w:r w:rsidRPr="006D3537">
        <w:rPr>
          <w:rFonts w:asciiTheme="minorHAnsi" w:hAnsiTheme="minorHAnsi" w:cstheme="minorHAnsi"/>
          <w:color w:val="auto"/>
          <w:sz w:val="24"/>
          <w:szCs w:val="24"/>
        </w:rPr>
        <w:t xml:space="preserve"> for female staff representation</w:t>
      </w:r>
    </w:p>
    <w:p w14:paraId="691DED47" w14:textId="01E95203" w:rsidR="006F349B" w:rsidRDefault="006F349B" w:rsidP="006F349B">
      <w:pPr>
        <w:spacing w:line="276" w:lineRule="auto"/>
        <w:rPr>
          <w:rFonts w:asciiTheme="minorHAnsi" w:hAnsiTheme="minorHAnsi" w:cstheme="minorHAnsi"/>
          <w:sz w:val="24"/>
        </w:rPr>
      </w:pPr>
      <w:r>
        <w:rPr>
          <w:rFonts w:asciiTheme="minorHAnsi" w:hAnsiTheme="minorHAnsi" w:cstheme="minorHAnsi"/>
          <w:sz w:val="24"/>
        </w:rPr>
        <w:t xml:space="preserve">We have </w:t>
      </w:r>
      <w:r w:rsidR="003F5065">
        <w:rPr>
          <w:rFonts w:asciiTheme="minorHAnsi" w:hAnsiTheme="minorHAnsi" w:cstheme="minorHAnsi"/>
          <w:sz w:val="24"/>
        </w:rPr>
        <w:t xml:space="preserve">introduced success measures to increase </w:t>
      </w:r>
      <w:r>
        <w:rPr>
          <w:rFonts w:asciiTheme="minorHAnsi" w:hAnsiTheme="minorHAnsi" w:cstheme="minorHAnsi"/>
          <w:sz w:val="24"/>
        </w:rPr>
        <w:t xml:space="preserve">our proportion of senior female academic staff to 30% of Professors and 30% of the immediate pipeline to Professor </w:t>
      </w:r>
      <w:r w:rsidRPr="00B70174">
        <w:rPr>
          <w:rFonts w:asciiTheme="minorHAnsi" w:hAnsiTheme="minorHAnsi" w:cstheme="minorHAnsi"/>
          <w:sz w:val="24"/>
        </w:rPr>
        <w:t>(</w:t>
      </w:r>
      <w:r>
        <w:rPr>
          <w:rFonts w:asciiTheme="minorHAnsi" w:hAnsiTheme="minorHAnsi" w:cstheme="minorHAnsi"/>
          <w:sz w:val="24"/>
        </w:rPr>
        <w:t>S</w:t>
      </w:r>
      <w:r w:rsidRPr="00B70174">
        <w:rPr>
          <w:rFonts w:asciiTheme="minorHAnsi" w:hAnsiTheme="minorHAnsi" w:cstheme="minorHAnsi"/>
          <w:sz w:val="24"/>
        </w:rPr>
        <w:t xml:space="preserve">enior </w:t>
      </w:r>
      <w:r>
        <w:rPr>
          <w:rFonts w:asciiTheme="minorHAnsi" w:hAnsiTheme="minorHAnsi" w:cstheme="minorHAnsi"/>
          <w:sz w:val="24"/>
        </w:rPr>
        <w:t>R</w:t>
      </w:r>
      <w:r w:rsidRPr="00B70174">
        <w:rPr>
          <w:rFonts w:asciiTheme="minorHAnsi" w:hAnsiTheme="minorHAnsi" w:cstheme="minorHAnsi"/>
          <w:sz w:val="24"/>
        </w:rPr>
        <w:t xml:space="preserve">esearchers, </w:t>
      </w:r>
      <w:r>
        <w:rPr>
          <w:rFonts w:asciiTheme="minorHAnsi" w:hAnsiTheme="minorHAnsi" w:cstheme="minorHAnsi"/>
          <w:sz w:val="24"/>
        </w:rPr>
        <w:t>S</w:t>
      </w:r>
      <w:r w:rsidRPr="00B70174">
        <w:rPr>
          <w:rFonts w:asciiTheme="minorHAnsi" w:hAnsiTheme="minorHAnsi" w:cstheme="minorHAnsi"/>
          <w:sz w:val="24"/>
        </w:rPr>
        <w:t xml:space="preserve">enior </w:t>
      </w:r>
      <w:r>
        <w:rPr>
          <w:rFonts w:asciiTheme="minorHAnsi" w:hAnsiTheme="minorHAnsi" w:cstheme="minorHAnsi"/>
          <w:sz w:val="24"/>
        </w:rPr>
        <w:t>L</w:t>
      </w:r>
      <w:r w:rsidRPr="00B70174">
        <w:rPr>
          <w:rFonts w:asciiTheme="minorHAnsi" w:hAnsiTheme="minorHAnsi" w:cstheme="minorHAnsi"/>
          <w:sz w:val="24"/>
        </w:rPr>
        <w:t xml:space="preserve">ecturers and </w:t>
      </w:r>
      <w:r>
        <w:rPr>
          <w:rFonts w:asciiTheme="minorHAnsi" w:hAnsiTheme="minorHAnsi" w:cstheme="minorHAnsi"/>
          <w:sz w:val="24"/>
        </w:rPr>
        <w:t>R</w:t>
      </w:r>
      <w:r w:rsidRPr="00B70174">
        <w:rPr>
          <w:rFonts w:asciiTheme="minorHAnsi" w:hAnsiTheme="minorHAnsi" w:cstheme="minorHAnsi"/>
          <w:sz w:val="24"/>
        </w:rPr>
        <w:t>eaders)</w:t>
      </w:r>
      <w:r>
        <w:rPr>
          <w:rFonts w:asciiTheme="minorHAnsi" w:hAnsiTheme="minorHAnsi" w:cstheme="minorHAnsi"/>
          <w:sz w:val="24"/>
        </w:rPr>
        <w:t>.  To date we have</w:t>
      </w:r>
      <w:r w:rsidRPr="00B70174">
        <w:rPr>
          <w:rFonts w:asciiTheme="minorHAnsi" w:hAnsiTheme="minorHAnsi" w:cstheme="minorHAnsi"/>
          <w:sz w:val="24"/>
        </w:rPr>
        <w:t xml:space="preserve"> substantially increas</w:t>
      </w:r>
      <w:r>
        <w:rPr>
          <w:rFonts w:asciiTheme="minorHAnsi" w:hAnsiTheme="minorHAnsi" w:cstheme="minorHAnsi"/>
          <w:sz w:val="24"/>
        </w:rPr>
        <w:t>ed</w:t>
      </w:r>
      <w:r w:rsidRPr="00B70174">
        <w:rPr>
          <w:rFonts w:asciiTheme="minorHAnsi" w:hAnsiTheme="minorHAnsi" w:cstheme="minorHAnsi"/>
          <w:sz w:val="24"/>
        </w:rPr>
        <w:t xml:space="preserve"> our proportion of female </w:t>
      </w:r>
      <w:r>
        <w:rPr>
          <w:rFonts w:asciiTheme="minorHAnsi" w:hAnsiTheme="minorHAnsi" w:cstheme="minorHAnsi"/>
          <w:sz w:val="24"/>
        </w:rPr>
        <w:t>P</w:t>
      </w:r>
      <w:r w:rsidRPr="00B70174">
        <w:rPr>
          <w:rFonts w:asciiTheme="minorHAnsi" w:hAnsiTheme="minorHAnsi" w:cstheme="minorHAnsi"/>
          <w:sz w:val="24"/>
        </w:rPr>
        <w:t>rofessors</w:t>
      </w:r>
      <w:r>
        <w:rPr>
          <w:rFonts w:asciiTheme="minorHAnsi" w:hAnsiTheme="minorHAnsi" w:cstheme="minorHAnsi"/>
          <w:sz w:val="24"/>
        </w:rPr>
        <w:t xml:space="preserve">, </w:t>
      </w:r>
      <w:r w:rsidRPr="00B70174">
        <w:rPr>
          <w:rFonts w:asciiTheme="minorHAnsi" w:hAnsiTheme="minorHAnsi" w:cstheme="minorHAnsi"/>
          <w:sz w:val="24"/>
        </w:rPr>
        <w:t xml:space="preserve">from 24.7% in 2017 to </w:t>
      </w:r>
      <w:r w:rsidRPr="00DE5099">
        <w:rPr>
          <w:rFonts w:asciiTheme="minorHAnsi" w:hAnsiTheme="minorHAnsi" w:cstheme="minorHAnsi"/>
          <w:sz w:val="24"/>
        </w:rPr>
        <w:t>28.5% in</w:t>
      </w:r>
      <w:r>
        <w:rPr>
          <w:rFonts w:asciiTheme="minorHAnsi" w:hAnsiTheme="minorHAnsi" w:cstheme="minorHAnsi"/>
          <w:sz w:val="24"/>
        </w:rPr>
        <w:t xml:space="preserve"> </w:t>
      </w:r>
      <w:r w:rsidRPr="00B70174">
        <w:rPr>
          <w:rFonts w:asciiTheme="minorHAnsi" w:hAnsiTheme="minorHAnsi" w:cstheme="minorHAnsi"/>
          <w:sz w:val="24"/>
        </w:rPr>
        <w:t>2021</w:t>
      </w:r>
      <w:r>
        <w:rPr>
          <w:rFonts w:asciiTheme="minorHAnsi" w:hAnsiTheme="minorHAnsi" w:cstheme="minorHAnsi"/>
          <w:sz w:val="24"/>
        </w:rPr>
        <w:t xml:space="preserve"> and have exceeded our benchmark for roles immediately below Professor, with 38% of these posts held by female academics in 2021. During the same </w:t>
      </w:r>
      <w:proofErr w:type="gramStart"/>
      <w:r>
        <w:rPr>
          <w:rFonts w:asciiTheme="minorHAnsi" w:hAnsiTheme="minorHAnsi" w:cstheme="minorHAnsi"/>
          <w:sz w:val="24"/>
        </w:rPr>
        <w:t>period</w:t>
      </w:r>
      <w:proofErr w:type="gramEnd"/>
      <w:r>
        <w:rPr>
          <w:rFonts w:asciiTheme="minorHAnsi" w:hAnsiTheme="minorHAnsi" w:cstheme="minorHAnsi"/>
          <w:sz w:val="24"/>
        </w:rPr>
        <w:t xml:space="preserve"> we have also increased the proportion of our most senior female Professional Services staff, </w:t>
      </w:r>
      <w:r w:rsidRPr="00AF6B03">
        <w:rPr>
          <w:rFonts w:asciiTheme="minorHAnsi" w:hAnsiTheme="minorHAnsi" w:cstheme="minorHAnsi"/>
          <w:sz w:val="24"/>
        </w:rPr>
        <w:t>from 36% in 2017 to 52.5% in 2021.</w:t>
      </w:r>
    </w:p>
    <w:p w14:paraId="3C24AA44" w14:textId="77777777" w:rsidR="006F349B" w:rsidRDefault="006F349B" w:rsidP="006F349B">
      <w:pPr>
        <w:spacing w:line="276" w:lineRule="auto"/>
        <w:ind w:left="720" w:hanging="720"/>
        <w:rPr>
          <w:rFonts w:asciiTheme="minorHAnsi" w:hAnsiTheme="minorHAnsi" w:cstheme="minorHAnsi"/>
          <w:sz w:val="24"/>
        </w:rPr>
      </w:pPr>
    </w:p>
    <w:p w14:paraId="65A4B4A3" w14:textId="77777777" w:rsidR="006F349B" w:rsidRPr="006D3537" w:rsidRDefault="006F349B" w:rsidP="006D3537">
      <w:pPr>
        <w:pStyle w:val="Heading2"/>
        <w:spacing w:line="276" w:lineRule="auto"/>
        <w:rPr>
          <w:rFonts w:asciiTheme="minorHAnsi" w:hAnsiTheme="minorHAnsi" w:cstheme="minorHAnsi"/>
          <w:color w:val="auto"/>
          <w:sz w:val="24"/>
          <w:szCs w:val="24"/>
        </w:rPr>
      </w:pPr>
      <w:r w:rsidRPr="006D3537">
        <w:rPr>
          <w:rFonts w:asciiTheme="minorHAnsi" w:hAnsiTheme="minorHAnsi" w:cstheme="minorHAnsi"/>
          <w:color w:val="auto"/>
          <w:sz w:val="24"/>
          <w:szCs w:val="24"/>
        </w:rPr>
        <w:t>Reshaping our academic career pathways</w:t>
      </w:r>
    </w:p>
    <w:p w14:paraId="7AB2CB6B" w14:textId="2BBC50FE" w:rsidR="006F349B" w:rsidRDefault="006F349B" w:rsidP="006F349B">
      <w:pPr>
        <w:spacing w:line="276" w:lineRule="auto"/>
        <w:rPr>
          <w:rFonts w:asciiTheme="minorHAnsi" w:hAnsiTheme="minorHAnsi" w:cstheme="minorHAnsi"/>
          <w:sz w:val="24"/>
        </w:rPr>
      </w:pPr>
      <w:r w:rsidRPr="000D77AC">
        <w:rPr>
          <w:rFonts w:asciiTheme="minorHAnsi" w:hAnsiTheme="minorHAnsi" w:cstheme="minorHAnsi"/>
          <w:sz w:val="24"/>
        </w:rPr>
        <w:t xml:space="preserve">The </w:t>
      </w:r>
      <w:proofErr w:type="gramStart"/>
      <w:r w:rsidRPr="000D77AC">
        <w:rPr>
          <w:rFonts w:asciiTheme="minorHAnsi" w:hAnsiTheme="minorHAnsi" w:cstheme="minorHAnsi"/>
          <w:sz w:val="24"/>
        </w:rPr>
        <w:t>2 year</w:t>
      </w:r>
      <w:proofErr w:type="gramEnd"/>
      <w:r w:rsidRPr="000D77AC">
        <w:rPr>
          <w:rFonts w:asciiTheme="minorHAnsi" w:hAnsiTheme="minorHAnsi" w:cstheme="minorHAnsi"/>
          <w:sz w:val="24"/>
        </w:rPr>
        <w:t xml:space="preserve"> Birmingham Academic Career Framework project has reformed our career framework</w:t>
      </w:r>
      <w:r w:rsidR="00884517">
        <w:rPr>
          <w:rFonts w:asciiTheme="minorHAnsi" w:hAnsiTheme="minorHAnsi" w:cstheme="minorHAnsi"/>
          <w:sz w:val="24"/>
        </w:rPr>
        <w:t xml:space="preserve"> for Academic staff</w:t>
      </w:r>
      <w:r w:rsidRPr="000D77AC">
        <w:rPr>
          <w:rFonts w:asciiTheme="minorHAnsi" w:hAnsiTheme="minorHAnsi" w:cstheme="minorHAnsi"/>
          <w:sz w:val="24"/>
        </w:rPr>
        <w:t xml:space="preserve"> </w:t>
      </w:r>
      <w:r w:rsidR="00884517">
        <w:rPr>
          <w:rFonts w:asciiTheme="minorHAnsi" w:hAnsiTheme="minorHAnsi" w:cstheme="minorHAnsi"/>
          <w:sz w:val="24"/>
        </w:rPr>
        <w:t xml:space="preserve">and now </w:t>
      </w:r>
      <w:r w:rsidR="00653118">
        <w:rPr>
          <w:rFonts w:asciiTheme="minorHAnsi" w:hAnsiTheme="minorHAnsi" w:cstheme="minorHAnsi"/>
          <w:sz w:val="24"/>
        </w:rPr>
        <w:t xml:space="preserve">reflects the increased </w:t>
      </w:r>
      <w:r w:rsidRPr="000D77AC">
        <w:rPr>
          <w:rFonts w:asciiTheme="minorHAnsi" w:hAnsiTheme="minorHAnsi" w:cstheme="minorHAnsi"/>
          <w:sz w:val="24"/>
        </w:rPr>
        <w:t>diversity of academic careers and offer</w:t>
      </w:r>
      <w:r w:rsidR="00884517">
        <w:rPr>
          <w:rFonts w:asciiTheme="minorHAnsi" w:hAnsiTheme="minorHAnsi" w:cstheme="minorHAnsi"/>
          <w:sz w:val="24"/>
        </w:rPr>
        <w:t>s</w:t>
      </w:r>
      <w:r w:rsidRPr="000D77AC">
        <w:rPr>
          <w:rFonts w:asciiTheme="minorHAnsi" w:hAnsiTheme="minorHAnsi" w:cstheme="minorHAnsi"/>
          <w:sz w:val="24"/>
        </w:rPr>
        <w:t xml:space="preserve"> an additional route to progression and promotion</w:t>
      </w:r>
      <w:r w:rsidR="00653118">
        <w:rPr>
          <w:rFonts w:asciiTheme="minorHAnsi" w:hAnsiTheme="minorHAnsi" w:cstheme="minorHAnsi"/>
          <w:sz w:val="24"/>
        </w:rPr>
        <w:t xml:space="preserve">, which recognises </w:t>
      </w:r>
      <w:r w:rsidR="00884517" w:rsidRPr="000D77AC">
        <w:rPr>
          <w:rFonts w:asciiTheme="minorHAnsi" w:hAnsiTheme="minorHAnsi" w:cstheme="minorHAnsi"/>
          <w:sz w:val="24"/>
        </w:rPr>
        <w:t>enterprise, engagement and impact</w:t>
      </w:r>
      <w:r w:rsidRPr="000D77AC">
        <w:rPr>
          <w:rFonts w:asciiTheme="minorHAnsi" w:hAnsiTheme="minorHAnsi" w:cstheme="minorHAnsi"/>
          <w:sz w:val="24"/>
        </w:rPr>
        <w:t xml:space="preserve">.  We have created clear promotions criteria for each pathway which </w:t>
      </w:r>
      <w:r w:rsidR="00653118">
        <w:rPr>
          <w:rFonts w:asciiTheme="minorHAnsi" w:hAnsiTheme="minorHAnsi" w:cstheme="minorHAnsi"/>
          <w:sz w:val="24"/>
        </w:rPr>
        <w:t>value</w:t>
      </w:r>
      <w:r w:rsidR="00653118" w:rsidRPr="000D77AC">
        <w:rPr>
          <w:rFonts w:asciiTheme="minorHAnsi" w:hAnsiTheme="minorHAnsi" w:cstheme="minorHAnsi"/>
          <w:sz w:val="24"/>
        </w:rPr>
        <w:t xml:space="preserve"> </w:t>
      </w:r>
      <w:r w:rsidRPr="000D77AC">
        <w:rPr>
          <w:rFonts w:asciiTheme="minorHAnsi" w:hAnsiTheme="minorHAnsi" w:cstheme="minorHAnsi"/>
          <w:sz w:val="24"/>
        </w:rPr>
        <w:t xml:space="preserve">the </w:t>
      </w:r>
      <w:r w:rsidR="00653118">
        <w:rPr>
          <w:rFonts w:asciiTheme="minorHAnsi" w:hAnsiTheme="minorHAnsi" w:cstheme="minorHAnsi"/>
          <w:sz w:val="24"/>
        </w:rPr>
        <w:t>wide range</w:t>
      </w:r>
      <w:r w:rsidR="00653118" w:rsidRPr="000D77AC">
        <w:rPr>
          <w:rFonts w:asciiTheme="minorHAnsi" w:hAnsiTheme="minorHAnsi" w:cstheme="minorHAnsi"/>
          <w:sz w:val="24"/>
        </w:rPr>
        <w:t xml:space="preserve"> </w:t>
      </w:r>
      <w:r w:rsidRPr="000D77AC">
        <w:rPr>
          <w:rFonts w:asciiTheme="minorHAnsi" w:hAnsiTheme="minorHAnsi" w:cstheme="minorHAnsi"/>
          <w:sz w:val="24"/>
        </w:rPr>
        <w:t xml:space="preserve">of activities undertaken by </w:t>
      </w:r>
      <w:r w:rsidR="00653118">
        <w:rPr>
          <w:rFonts w:asciiTheme="minorHAnsi" w:hAnsiTheme="minorHAnsi" w:cstheme="minorHAnsi"/>
          <w:sz w:val="24"/>
        </w:rPr>
        <w:t xml:space="preserve">academic </w:t>
      </w:r>
      <w:r w:rsidRPr="000D77AC">
        <w:rPr>
          <w:rFonts w:asciiTheme="minorHAnsi" w:hAnsiTheme="minorHAnsi" w:cstheme="minorHAnsi"/>
          <w:sz w:val="24"/>
        </w:rPr>
        <w:t>staff (including where they contribute to supporting ED&amp;I) and</w:t>
      </w:r>
      <w:r w:rsidR="00653118">
        <w:rPr>
          <w:rFonts w:asciiTheme="minorHAnsi" w:hAnsiTheme="minorHAnsi" w:cstheme="minorHAnsi"/>
          <w:sz w:val="24"/>
        </w:rPr>
        <w:t xml:space="preserve"> we have</w:t>
      </w:r>
      <w:r w:rsidRPr="000D77AC">
        <w:rPr>
          <w:rFonts w:asciiTheme="minorHAnsi" w:hAnsiTheme="minorHAnsi" w:cstheme="minorHAnsi"/>
          <w:sz w:val="24"/>
        </w:rPr>
        <w:t xml:space="preserve"> introduced a requirement for academic staff to demonstrate citizenship in order to progress.  The Birmingham Academic will provide academics at all stages of their careers with the support and development needed to progress along these pathways.</w:t>
      </w:r>
    </w:p>
    <w:p w14:paraId="727BE02F" w14:textId="155468F5" w:rsidR="003F5065" w:rsidRDefault="003F5065" w:rsidP="006F349B">
      <w:pPr>
        <w:spacing w:line="276" w:lineRule="auto"/>
        <w:rPr>
          <w:rFonts w:asciiTheme="minorHAnsi" w:hAnsiTheme="minorHAnsi" w:cstheme="minorHAnsi"/>
          <w:sz w:val="24"/>
        </w:rPr>
      </w:pPr>
    </w:p>
    <w:p w14:paraId="7AC26002" w14:textId="77777777" w:rsidR="003F5065" w:rsidRPr="006D3537" w:rsidRDefault="003F5065" w:rsidP="003F5065">
      <w:pPr>
        <w:pStyle w:val="Heading2"/>
        <w:spacing w:line="276" w:lineRule="auto"/>
        <w:rPr>
          <w:rFonts w:asciiTheme="minorHAnsi" w:hAnsiTheme="minorHAnsi" w:cstheme="minorHAnsi"/>
          <w:color w:val="auto"/>
          <w:sz w:val="24"/>
          <w:szCs w:val="24"/>
        </w:rPr>
      </w:pPr>
      <w:r w:rsidRPr="006D3537">
        <w:rPr>
          <w:rFonts w:asciiTheme="minorHAnsi" w:hAnsiTheme="minorHAnsi" w:cstheme="minorHAnsi"/>
          <w:color w:val="auto"/>
          <w:sz w:val="24"/>
          <w:szCs w:val="24"/>
        </w:rPr>
        <w:t>Equality Change Programme</w:t>
      </w:r>
    </w:p>
    <w:p w14:paraId="0DEA15B4" w14:textId="15DE42D2" w:rsidR="003F5065" w:rsidRDefault="003F5065" w:rsidP="003F5065">
      <w:pPr>
        <w:shd w:val="clear" w:color="auto" w:fill="FFFFFF"/>
        <w:spacing w:line="276" w:lineRule="auto"/>
        <w:rPr>
          <w:rFonts w:asciiTheme="minorHAnsi" w:hAnsiTheme="minorHAnsi" w:cstheme="minorHAnsi"/>
          <w:sz w:val="24"/>
        </w:rPr>
      </w:pPr>
      <w:r w:rsidRPr="00F12F3F">
        <w:rPr>
          <w:rFonts w:asciiTheme="minorHAnsi" w:hAnsiTheme="minorHAnsi" w:cstheme="minorHAnsi"/>
          <w:sz w:val="24"/>
          <w:lang w:eastAsia="en-GB"/>
        </w:rPr>
        <w:t xml:space="preserve">In 2020 we launched our Equality Change Programme to deliver the University’s Athena Swan and Race Equality Charter action plans and embed gender and race equality at the heart of our employment practices. The programme harnesses staff knowledge and experience from across the University to deliver key projects across six work-streams. </w:t>
      </w:r>
      <w:r w:rsidRPr="00F12F3F">
        <w:rPr>
          <w:rFonts w:asciiTheme="minorHAnsi" w:hAnsiTheme="minorHAnsi" w:cstheme="minorHAnsi"/>
          <w:sz w:val="24"/>
        </w:rPr>
        <w:t xml:space="preserve">Innovations in support of gender equality in 2021 include the use of gender and ethnicity data to better inform workforce planning processes and a far-reaching review of the University’s family leave arrangements and support with a view to becoming sector-leading </w:t>
      </w:r>
      <w:r w:rsidRPr="00F12F3F">
        <w:rPr>
          <w:rFonts w:asciiTheme="minorHAnsi" w:hAnsiTheme="minorHAnsi" w:cstheme="minorHAnsi"/>
          <w:sz w:val="24"/>
        </w:rPr>
        <w:lastRenderedPageBreak/>
        <w:t>in what we offer our staff. The programme has also overseen a number of specific actions to embed gender equality across our employment processes:</w:t>
      </w:r>
    </w:p>
    <w:p w14:paraId="0AB627B7" w14:textId="77777777" w:rsidR="003F5065" w:rsidRPr="00F12F3F" w:rsidRDefault="003F5065" w:rsidP="003F5065">
      <w:pPr>
        <w:shd w:val="clear" w:color="auto" w:fill="FFFFFF"/>
        <w:spacing w:line="276" w:lineRule="auto"/>
        <w:rPr>
          <w:rFonts w:asciiTheme="minorHAnsi" w:hAnsiTheme="minorHAnsi" w:cstheme="minorHAnsi"/>
          <w:sz w:val="24"/>
        </w:rPr>
      </w:pPr>
    </w:p>
    <w:p w14:paraId="684F604C" w14:textId="77777777" w:rsidR="003F5065" w:rsidRPr="00F12F3F" w:rsidRDefault="003F5065" w:rsidP="003F5065">
      <w:pPr>
        <w:pStyle w:val="ListParagraph"/>
        <w:numPr>
          <w:ilvl w:val="0"/>
          <w:numId w:val="14"/>
        </w:numPr>
        <w:rPr>
          <w:rFonts w:asciiTheme="minorHAnsi" w:eastAsia="Times New Roman" w:hAnsiTheme="minorHAnsi" w:cstheme="minorHAnsi"/>
          <w:sz w:val="24"/>
          <w:lang w:eastAsia="en-GB"/>
        </w:rPr>
      </w:pPr>
      <w:r w:rsidRPr="00F12F3F">
        <w:rPr>
          <w:rFonts w:asciiTheme="minorHAnsi" w:eastAsia="Times New Roman" w:hAnsiTheme="minorHAnsi" w:cstheme="minorHAnsi"/>
          <w:sz w:val="24"/>
          <w:lang w:eastAsia="en-GB"/>
        </w:rPr>
        <w:t>The delivery of ED&amp;I training to all staff involved in decision-making for the Research Excellence Framework</w:t>
      </w:r>
    </w:p>
    <w:p w14:paraId="482E2F82" w14:textId="77777777" w:rsidR="003F5065" w:rsidRPr="00F12F3F" w:rsidRDefault="003F5065" w:rsidP="003F5065">
      <w:pPr>
        <w:pStyle w:val="ListParagraph"/>
        <w:numPr>
          <w:ilvl w:val="0"/>
          <w:numId w:val="14"/>
        </w:numPr>
        <w:rPr>
          <w:rFonts w:asciiTheme="minorHAnsi" w:eastAsia="Times New Roman" w:hAnsiTheme="minorHAnsi" w:cstheme="minorHAnsi"/>
          <w:sz w:val="24"/>
          <w:lang w:eastAsia="en-GB"/>
        </w:rPr>
      </w:pPr>
      <w:r w:rsidRPr="00F12F3F">
        <w:rPr>
          <w:rFonts w:asciiTheme="minorHAnsi" w:eastAsia="Times New Roman" w:hAnsiTheme="minorHAnsi" w:cstheme="minorHAnsi"/>
          <w:sz w:val="24"/>
          <w:lang w:eastAsia="en-GB"/>
        </w:rPr>
        <w:t>The Deputy Pro-</w:t>
      </w:r>
      <w:proofErr w:type="gramStart"/>
      <w:r w:rsidRPr="00F12F3F">
        <w:rPr>
          <w:rFonts w:asciiTheme="minorHAnsi" w:eastAsia="Times New Roman" w:hAnsiTheme="minorHAnsi" w:cstheme="minorHAnsi"/>
          <w:sz w:val="24"/>
          <w:lang w:eastAsia="en-GB"/>
        </w:rPr>
        <w:t>vice</w:t>
      </w:r>
      <w:proofErr w:type="gramEnd"/>
      <w:r w:rsidRPr="00F12F3F">
        <w:rPr>
          <w:rFonts w:asciiTheme="minorHAnsi" w:eastAsia="Times New Roman" w:hAnsiTheme="minorHAnsi" w:cstheme="minorHAnsi"/>
          <w:sz w:val="24"/>
          <w:lang w:eastAsia="en-GB"/>
        </w:rPr>
        <w:t xml:space="preserve"> Chancellor for ED&amp;I attending the University’s Promotions and Titles Committee to focus on ED&amp;I in promotions decisions</w:t>
      </w:r>
    </w:p>
    <w:p w14:paraId="2EE15748" w14:textId="77777777" w:rsidR="003F5065" w:rsidRPr="00F12F3F" w:rsidRDefault="003F5065" w:rsidP="003F5065">
      <w:pPr>
        <w:pStyle w:val="ListParagraph"/>
        <w:numPr>
          <w:ilvl w:val="0"/>
          <w:numId w:val="14"/>
        </w:numPr>
        <w:spacing w:line="276" w:lineRule="auto"/>
        <w:rPr>
          <w:rFonts w:asciiTheme="minorHAnsi" w:hAnsiTheme="minorHAnsi" w:cstheme="minorHAnsi"/>
          <w:sz w:val="24"/>
        </w:rPr>
      </w:pPr>
      <w:r w:rsidRPr="00F12F3F">
        <w:rPr>
          <w:rFonts w:asciiTheme="minorHAnsi" w:eastAsia="Times New Roman" w:hAnsiTheme="minorHAnsi" w:cstheme="minorHAnsi"/>
          <w:sz w:val="24"/>
          <w:lang w:eastAsia="en-GB"/>
        </w:rPr>
        <w:t xml:space="preserve">All staff making recruitment and selection decisions undertake mandatory recruitment and selection </w:t>
      </w:r>
      <w:proofErr w:type="gramStart"/>
      <w:r w:rsidRPr="00F12F3F">
        <w:rPr>
          <w:rFonts w:asciiTheme="minorHAnsi" w:eastAsia="Times New Roman" w:hAnsiTheme="minorHAnsi" w:cstheme="minorHAnsi"/>
          <w:sz w:val="24"/>
          <w:lang w:eastAsia="en-GB"/>
        </w:rPr>
        <w:t>training  (</w:t>
      </w:r>
      <w:proofErr w:type="gramEnd"/>
      <w:r w:rsidRPr="00F12F3F">
        <w:rPr>
          <w:rFonts w:asciiTheme="minorHAnsi" w:eastAsia="Times New Roman" w:hAnsiTheme="minorHAnsi" w:cstheme="minorHAnsi"/>
          <w:sz w:val="24"/>
          <w:lang w:eastAsia="en-GB"/>
        </w:rPr>
        <w:t xml:space="preserve">including unconscious bias) every 2 years </w:t>
      </w:r>
    </w:p>
    <w:p w14:paraId="624B3879" w14:textId="77777777" w:rsidR="003F5065" w:rsidRDefault="003F5065" w:rsidP="006F349B">
      <w:pPr>
        <w:spacing w:line="276" w:lineRule="auto"/>
        <w:rPr>
          <w:rFonts w:asciiTheme="minorHAnsi" w:hAnsiTheme="minorHAnsi" w:cstheme="minorHAnsi"/>
          <w:sz w:val="24"/>
        </w:rPr>
      </w:pPr>
    </w:p>
    <w:p w14:paraId="06A49A37" w14:textId="77777777" w:rsidR="006F349B" w:rsidRPr="006D3537" w:rsidRDefault="006F349B" w:rsidP="006D3537">
      <w:pPr>
        <w:pStyle w:val="Heading2"/>
        <w:spacing w:line="276" w:lineRule="auto"/>
        <w:rPr>
          <w:rFonts w:asciiTheme="minorHAnsi" w:hAnsiTheme="minorHAnsi" w:cstheme="minorHAnsi"/>
          <w:color w:val="auto"/>
          <w:sz w:val="24"/>
          <w:szCs w:val="24"/>
        </w:rPr>
      </w:pPr>
      <w:r w:rsidRPr="006D3537">
        <w:rPr>
          <w:rFonts w:asciiTheme="minorHAnsi" w:hAnsiTheme="minorHAnsi" w:cstheme="minorHAnsi"/>
          <w:color w:val="auto"/>
          <w:sz w:val="24"/>
          <w:szCs w:val="24"/>
        </w:rPr>
        <w:t>Developing female leadership</w:t>
      </w:r>
    </w:p>
    <w:p w14:paraId="73BCDA50" w14:textId="61A746EB" w:rsidR="006F349B" w:rsidRDefault="006F349B" w:rsidP="006F349B">
      <w:pPr>
        <w:spacing w:line="276" w:lineRule="auto"/>
        <w:rPr>
          <w:rFonts w:asciiTheme="minorHAnsi" w:hAnsiTheme="minorHAnsi" w:cstheme="minorHAnsi"/>
          <w:sz w:val="24"/>
        </w:rPr>
      </w:pPr>
      <w:r w:rsidRPr="000D77AC">
        <w:rPr>
          <w:rFonts w:asciiTheme="minorHAnsi" w:hAnsiTheme="minorHAnsi" w:cstheme="minorHAnsi"/>
          <w:sz w:val="24"/>
        </w:rPr>
        <w:t>Since 2018, the University’s Emerging and Senior Leaders development programmes have operated with a benchmark of at least 40% female attendees to support the pipeline of women into leadership roles at the University. A further 173 female staff have participated in the higher education sector Aurora development programme for women.</w:t>
      </w:r>
    </w:p>
    <w:p w14:paraId="6958A19A" w14:textId="083C70EF" w:rsidR="003F5065" w:rsidRDefault="003F5065" w:rsidP="006F349B">
      <w:pPr>
        <w:spacing w:line="276" w:lineRule="auto"/>
        <w:rPr>
          <w:rFonts w:asciiTheme="minorHAnsi" w:hAnsiTheme="minorHAnsi" w:cstheme="minorHAnsi"/>
          <w:sz w:val="24"/>
        </w:rPr>
      </w:pPr>
    </w:p>
    <w:p w14:paraId="539FB4B9" w14:textId="77777777" w:rsidR="003F5065" w:rsidRPr="006D3537" w:rsidRDefault="003F5065" w:rsidP="003F5065">
      <w:pPr>
        <w:pStyle w:val="Heading2"/>
        <w:spacing w:line="276" w:lineRule="auto"/>
        <w:rPr>
          <w:rFonts w:asciiTheme="minorHAnsi" w:hAnsiTheme="minorHAnsi" w:cstheme="minorHAnsi"/>
          <w:color w:val="auto"/>
          <w:sz w:val="24"/>
          <w:szCs w:val="24"/>
        </w:rPr>
      </w:pPr>
      <w:r w:rsidRPr="006D3537">
        <w:rPr>
          <w:rFonts w:asciiTheme="minorHAnsi" w:hAnsiTheme="minorHAnsi" w:cstheme="minorHAnsi"/>
          <w:color w:val="auto"/>
          <w:sz w:val="24"/>
          <w:szCs w:val="24"/>
        </w:rPr>
        <w:t>Athena Swan Charter</w:t>
      </w:r>
    </w:p>
    <w:p w14:paraId="11C52817" w14:textId="238F528B" w:rsidR="003F5065" w:rsidRPr="000D77AC" w:rsidRDefault="003F5065" w:rsidP="006F349B">
      <w:pPr>
        <w:spacing w:line="276" w:lineRule="auto"/>
        <w:rPr>
          <w:rFonts w:asciiTheme="minorHAnsi" w:hAnsiTheme="minorHAnsi" w:cstheme="minorHAnsi"/>
          <w:sz w:val="24"/>
        </w:rPr>
      </w:pPr>
      <w:r w:rsidRPr="008B588C">
        <w:rPr>
          <w:rFonts w:asciiTheme="minorHAnsi" w:hAnsiTheme="minorHAnsi" w:cstheme="minorHAnsi"/>
          <w:sz w:val="24"/>
        </w:rPr>
        <w:t xml:space="preserve">In 2020, the University successfully renewed its Bronze Athena Swan Charter award for another four years. Our Bronze award includes a comprehensive action plan aimed at improving gender representation at senior levels in the organisation. </w:t>
      </w:r>
      <w:r>
        <w:rPr>
          <w:rFonts w:asciiTheme="minorHAnsi" w:hAnsiTheme="minorHAnsi" w:cstheme="minorHAnsi"/>
          <w:sz w:val="24"/>
        </w:rPr>
        <w:t>21 of our 28</w:t>
      </w:r>
      <w:r w:rsidRPr="008B588C">
        <w:rPr>
          <w:rFonts w:asciiTheme="minorHAnsi" w:hAnsiTheme="minorHAnsi" w:cstheme="minorHAnsi"/>
          <w:sz w:val="24"/>
        </w:rPr>
        <w:t xml:space="preserve"> Schools and Institutes hold Athena awards in recognition of their commitment to the recruitment, retention and progression of female academics. This includes</w:t>
      </w:r>
      <w:r>
        <w:rPr>
          <w:rFonts w:asciiTheme="minorHAnsi" w:hAnsiTheme="minorHAnsi" w:cstheme="minorHAnsi"/>
          <w:sz w:val="24"/>
        </w:rPr>
        <w:t xml:space="preserve"> </w:t>
      </w:r>
      <w:r w:rsidRPr="008B588C">
        <w:rPr>
          <w:rFonts w:asciiTheme="minorHAnsi" w:hAnsiTheme="minorHAnsi" w:cstheme="minorHAnsi"/>
          <w:sz w:val="24"/>
        </w:rPr>
        <w:t>award</w:t>
      </w:r>
      <w:r>
        <w:rPr>
          <w:rFonts w:asciiTheme="minorHAnsi" w:hAnsiTheme="minorHAnsi" w:cstheme="minorHAnsi"/>
          <w:sz w:val="24"/>
        </w:rPr>
        <w:t>s</w:t>
      </w:r>
      <w:r w:rsidRPr="008B588C">
        <w:rPr>
          <w:rFonts w:asciiTheme="minorHAnsi" w:hAnsiTheme="minorHAnsi" w:cstheme="minorHAnsi"/>
          <w:sz w:val="24"/>
        </w:rPr>
        <w:t xml:space="preserve"> in 202</w:t>
      </w:r>
      <w:r>
        <w:rPr>
          <w:rFonts w:asciiTheme="minorHAnsi" w:hAnsiTheme="minorHAnsi" w:cstheme="minorHAnsi"/>
          <w:sz w:val="24"/>
        </w:rPr>
        <w:t>1</w:t>
      </w:r>
      <w:r w:rsidRPr="008B588C">
        <w:rPr>
          <w:rFonts w:asciiTheme="minorHAnsi" w:hAnsiTheme="minorHAnsi" w:cstheme="minorHAnsi"/>
          <w:sz w:val="24"/>
        </w:rPr>
        <w:t xml:space="preserve"> for </w:t>
      </w:r>
      <w:r>
        <w:rPr>
          <w:rFonts w:asciiTheme="minorHAnsi" w:hAnsiTheme="minorHAnsi" w:cstheme="minorHAnsi"/>
          <w:sz w:val="24"/>
        </w:rPr>
        <w:t>our</w:t>
      </w:r>
      <w:r w:rsidRPr="008B588C">
        <w:rPr>
          <w:rFonts w:asciiTheme="minorHAnsi" w:hAnsiTheme="minorHAnsi" w:cstheme="minorHAnsi"/>
          <w:sz w:val="24"/>
        </w:rPr>
        <w:t xml:space="preserve"> School</w:t>
      </w:r>
      <w:r>
        <w:rPr>
          <w:rFonts w:asciiTheme="minorHAnsi" w:hAnsiTheme="minorHAnsi" w:cstheme="minorHAnsi"/>
          <w:sz w:val="24"/>
        </w:rPr>
        <w:t>s of Metallurgy &amp; Materials</w:t>
      </w:r>
      <w:r w:rsidRPr="008B588C">
        <w:rPr>
          <w:rFonts w:asciiTheme="minorHAnsi" w:hAnsiTheme="minorHAnsi" w:cstheme="minorHAnsi"/>
          <w:sz w:val="24"/>
        </w:rPr>
        <w:t xml:space="preserve"> </w:t>
      </w:r>
      <w:r>
        <w:rPr>
          <w:rFonts w:asciiTheme="minorHAnsi" w:hAnsiTheme="minorHAnsi" w:cstheme="minorHAnsi"/>
          <w:sz w:val="24"/>
        </w:rPr>
        <w:t xml:space="preserve">(Bronze) and Chemistry (Bronze renewal). </w:t>
      </w:r>
    </w:p>
    <w:p w14:paraId="2F1020F4" w14:textId="77777777" w:rsidR="006F349B" w:rsidRPr="000D77AC" w:rsidRDefault="006F349B" w:rsidP="006F349B">
      <w:pPr>
        <w:spacing w:line="276" w:lineRule="auto"/>
        <w:ind w:left="720" w:hanging="720"/>
        <w:rPr>
          <w:rFonts w:asciiTheme="minorHAnsi" w:hAnsiTheme="minorHAnsi" w:cstheme="minorHAnsi"/>
          <w:b/>
          <w:sz w:val="24"/>
        </w:rPr>
      </w:pPr>
    </w:p>
    <w:p w14:paraId="18CD0E14" w14:textId="77777777" w:rsidR="006F349B" w:rsidRPr="006D3537" w:rsidRDefault="006F349B" w:rsidP="006D3537">
      <w:pPr>
        <w:pStyle w:val="Heading2"/>
        <w:spacing w:line="276" w:lineRule="auto"/>
        <w:rPr>
          <w:rFonts w:asciiTheme="minorHAnsi" w:hAnsiTheme="minorHAnsi" w:cstheme="minorHAnsi"/>
          <w:color w:val="auto"/>
          <w:sz w:val="24"/>
          <w:szCs w:val="24"/>
        </w:rPr>
      </w:pPr>
      <w:r w:rsidRPr="006D3537">
        <w:rPr>
          <w:rFonts w:asciiTheme="minorHAnsi" w:hAnsiTheme="minorHAnsi" w:cstheme="minorHAnsi"/>
          <w:color w:val="auto"/>
          <w:sz w:val="24"/>
          <w:szCs w:val="24"/>
        </w:rPr>
        <w:t xml:space="preserve">Diversifying Professional Services roles </w:t>
      </w:r>
    </w:p>
    <w:p w14:paraId="0DA1DC27" w14:textId="7E99155D" w:rsidR="006F349B" w:rsidRPr="000D77AC" w:rsidRDefault="006F349B" w:rsidP="006F349B">
      <w:pPr>
        <w:spacing w:line="276" w:lineRule="auto"/>
        <w:rPr>
          <w:rFonts w:asciiTheme="minorHAnsi" w:hAnsiTheme="minorHAnsi" w:cstheme="minorHAnsi"/>
          <w:sz w:val="24"/>
        </w:rPr>
      </w:pPr>
      <w:r w:rsidRPr="000D77AC">
        <w:rPr>
          <w:rFonts w:asciiTheme="minorHAnsi" w:hAnsiTheme="minorHAnsi" w:cstheme="minorHAnsi"/>
          <w:sz w:val="24"/>
        </w:rPr>
        <w:t xml:space="preserve">A major review of Professional Services job descriptions has created a transformed set of generic job descriptions. Gendered job titles have been removed and we have revised the way we describe roles to reflect a more diverse range of experiences and qualities. </w:t>
      </w:r>
      <w:r w:rsidR="003F5065">
        <w:t xml:space="preserve"> </w:t>
      </w:r>
      <w:r w:rsidR="003F5065" w:rsidRPr="003F5065">
        <w:rPr>
          <w:rFonts w:asciiTheme="minorHAnsi" w:hAnsiTheme="minorHAnsi" w:cstheme="minorHAnsi"/>
          <w:sz w:val="24"/>
        </w:rPr>
        <w:t>The new job descriptions are freely available for staff to review, see the differences in roles and grades, and identify how they may develop their career. In addition, we have created an online career development course, complemented with other online materials.</w:t>
      </w:r>
    </w:p>
    <w:p w14:paraId="15877134" w14:textId="77777777" w:rsidR="006F349B" w:rsidRPr="000D77AC" w:rsidRDefault="006F349B" w:rsidP="006F349B">
      <w:pPr>
        <w:spacing w:line="276" w:lineRule="auto"/>
        <w:ind w:left="720" w:hanging="720"/>
        <w:rPr>
          <w:rFonts w:asciiTheme="minorHAnsi" w:hAnsiTheme="minorHAnsi" w:cstheme="minorHAnsi"/>
          <w:sz w:val="24"/>
        </w:rPr>
      </w:pPr>
    </w:p>
    <w:p w14:paraId="2C6E6ACE" w14:textId="77777777" w:rsidR="006F349B" w:rsidRPr="000D77AC" w:rsidRDefault="006F349B" w:rsidP="006F349B">
      <w:pPr>
        <w:spacing w:line="276" w:lineRule="auto"/>
        <w:ind w:left="720" w:hanging="720"/>
        <w:rPr>
          <w:rFonts w:asciiTheme="minorHAnsi" w:hAnsiTheme="minorHAnsi" w:cstheme="minorHAnsi"/>
          <w:sz w:val="24"/>
        </w:rPr>
      </w:pPr>
    </w:p>
    <w:p w14:paraId="3B16F4B2" w14:textId="13E1A511" w:rsidR="00564D2D" w:rsidRPr="00503333" w:rsidRDefault="00EC166C" w:rsidP="00503333">
      <w:pPr>
        <w:rPr>
          <w:rFonts w:asciiTheme="minorHAnsi" w:hAnsiTheme="minorHAnsi" w:cstheme="minorHAnsi"/>
          <w:sz w:val="24"/>
        </w:rPr>
      </w:pPr>
      <w:bookmarkStart w:id="1" w:name="_GoBack"/>
      <w:bookmarkEnd w:id="1"/>
      <w:r w:rsidRPr="006D3537">
        <w:rPr>
          <w:rFonts w:asciiTheme="minorHAnsi" w:hAnsiTheme="minorHAnsi" w:cstheme="minorHAnsi"/>
          <w:b/>
          <w:szCs w:val="28"/>
        </w:rPr>
        <w:t>Moving</w:t>
      </w:r>
      <w:r w:rsidR="00564D2D" w:rsidRPr="006D3537">
        <w:rPr>
          <w:rFonts w:asciiTheme="minorHAnsi" w:hAnsiTheme="minorHAnsi" w:cstheme="minorHAnsi"/>
          <w:b/>
          <w:szCs w:val="28"/>
        </w:rPr>
        <w:t xml:space="preserve"> </w:t>
      </w:r>
      <w:r w:rsidRPr="006D3537">
        <w:rPr>
          <w:rFonts w:asciiTheme="minorHAnsi" w:hAnsiTheme="minorHAnsi" w:cstheme="minorHAnsi"/>
          <w:b/>
          <w:szCs w:val="28"/>
        </w:rPr>
        <w:t>f</w:t>
      </w:r>
      <w:r w:rsidR="00564D2D" w:rsidRPr="006D3537">
        <w:rPr>
          <w:rFonts w:asciiTheme="minorHAnsi" w:hAnsiTheme="minorHAnsi" w:cstheme="minorHAnsi"/>
          <w:b/>
          <w:szCs w:val="28"/>
        </w:rPr>
        <w:t>orward</w:t>
      </w:r>
    </w:p>
    <w:p w14:paraId="3AD7AC85" w14:textId="7F024BDF" w:rsidR="00585B1F" w:rsidRDefault="00585B1F" w:rsidP="007C3425">
      <w:pPr>
        <w:spacing w:line="276" w:lineRule="auto"/>
        <w:ind w:left="720" w:hanging="720"/>
        <w:rPr>
          <w:rFonts w:asciiTheme="minorHAnsi" w:hAnsiTheme="minorHAnsi" w:cstheme="minorHAnsi"/>
          <w:sz w:val="24"/>
        </w:rPr>
      </w:pPr>
    </w:p>
    <w:p w14:paraId="36596608" w14:textId="01DFBB9E" w:rsidR="000C109E" w:rsidRDefault="00200BE3" w:rsidP="00637626">
      <w:pPr>
        <w:spacing w:line="276" w:lineRule="auto"/>
        <w:rPr>
          <w:rFonts w:asciiTheme="minorHAnsi" w:hAnsiTheme="minorHAnsi" w:cstheme="minorHAnsi"/>
          <w:sz w:val="24"/>
        </w:rPr>
      </w:pPr>
      <w:r>
        <w:rPr>
          <w:rFonts w:asciiTheme="minorHAnsi" w:hAnsiTheme="minorHAnsi" w:cstheme="minorHAnsi"/>
          <w:sz w:val="24"/>
        </w:rPr>
        <w:t>We are pleased that our commitment to reducing the University’s gender pay gap has resulted in</w:t>
      </w:r>
      <w:r w:rsidR="006216A2">
        <w:rPr>
          <w:rFonts w:asciiTheme="minorHAnsi" w:hAnsiTheme="minorHAnsi" w:cstheme="minorHAnsi"/>
          <w:sz w:val="24"/>
        </w:rPr>
        <w:t xml:space="preserve"> </w:t>
      </w:r>
      <w:r w:rsidR="00637626" w:rsidRPr="007C3425">
        <w:rPr>
          <w:rFonts w:asciiTheme="minorHAnsi" w:hAnsiTheme="minorHAnsi" w:cstheme="minorHAnsi"/>
          <w:sz w:val="24"/>
        </w:rPr>
        <w:t>a positive trend of narrowing mean and median pay gaps</w:t>
      </w:r>
      <w:r w:rsidR="00EC166C">
        <w:rPr>
          <w:rFonts w:asciiTheme="minorHAnsi" w:hAnsiTheme="minorHAnsi" w:cstheme="minorHAnsi"/>
          <w:sz w:val="24"/>
        </w:rPr>
        <w:t xml:space="preserve"> since 2017, </w:t>
      </w:r>
      <w:r w:rsidR="00637626" w:rsidRPr="007C3425">
        <w:rPr>
          <w:rFonts w:asciiTheme="minorHAnsi" w:hAnsiTheme="minorHAnsi" w:cstheme="minorHAnsi"/>
          <w:sz w:val="24"/>
        </w:rPr>
        <w:t xml:space="preserve">with the most significant </w:t>
      </w:r>
      <w:r w:rsidR="00103A05">
        <w:rPr>
          <w:rFonts w:asciiTheme="minorHAnsi" w:hAnsiTheme="minorHAnsi" w:cstheme="minorHAnsi"/>
          <w:sz w:val="24"/>
        </w:rPr>
        <w:t>change</w:t>
      </w:r>
      <w:r w:rsidR="00637626" w:rsidRPr="007C3425">
        <w:rPr>
          <w:rFonts w:asciiTheme="minorHAnsi" w:hAnsiTheme="minorHAnsi" w:cstheme="minorHAnsi"/>
          <w:sz w:val="24"/>
        </w:rPr>
        <w:t xml:space="preserve"> occurring in the last year.  </w:t>
      </w:r>
    </w:p>
    <w:p w14:paraId="476EE965" w14:textId="77777777" w:rsidR="000C109E" w:rsidRDefault="000C109E" w:rsidP="00637626">
      <w:pPr>
        <w:spacing w:line="276" w:lineRule="auto"/>
        <w:rPr>
          <w:rFonts w:asciiTheme="minorHAnsi" w:hAnsiTheme="minorHAnsi" w:cstheme="minorHAnsi"/>
          <w:sz w:val="24"/>
        </w:rPr>
      </w:pPr>
    </w:p>
    <w:p w14:paraId="7FF3AC0A" w14:textId="5E4D3337" w:rsidR="00637626" w:rsidRPr="007C3425" w:rsidRDefault="006216A2" w:rsidP="00637626">
      <w:pPr>
        <w:spacing w:line="276" w:lineRule="auto"/>
        <w:rPr>
          <w:rFonts w:asciiTheme="minorHAnsi" w:hAnsiTheme="minorHAnsi" w:cstheme="minorHAnsi"/>
          <w:sz w:val="24"/>
        </w:rPr>
      </w:pPr>
      <w:r>
        <w:rPr>
          <w:rFonts w:asciiTheme="minorHAnsi" w:hAnsiTheme="minorHAnsi" w:cstheme="minorHAnsi"/>
          <w:sz w:val="24"/>
        </w:rPr>
        <w:t>Further reducing our hourly pay and bonus pay gaps remains a priority for the University</w:t>
      </w:r>
      <w:r w:rsidR="00103A05">
        <w:rPr>
          <w:rFonts w:asciiTheme="minorHAnsi" w:hAnsiTheme="minorHAnsi" w:cstheme="minorHAnsi"/>
          <w:sz w:val="24"/>
        </w:rPr>
        <w:t>.</w:t>
      </w:r>
      <w:r>
        <w:rPr>
          <w:rFonts w:asciiTheme="minorHAnsi" w:hAnsiTheme="minorHAnsi" w:cstheme="minorHAnsi"/>
          <w:sz w:val="24"/>
        </w:rPr>
        <w:t xml:space="preserve"> </w:t>
      </w:r>
    </w:p>
    <w:p w14:paraId="10898A47" w14:textId="3DB9813A" w:rsidR="006216A2" w:rsidRDefault="00343733" w:rsidP="00977169">
      <w:pPr>
        <w:spacing w:line="276" w:lineRule="auto"/>
        <w:rPr>
          <w:rFonts w:asciiTheme="minorHAnsi" w:hAnsiTheme="minorHAnsi" w:cstheme="minorHAnsi"/>
          <w:sz w:val="24"/>
        </w:rPr>
      </w:pPr>
      <w:r w:rsidRPr="007C3425">
        <w:rPr>
          <w:rFonts w:asciiTheme="minorHAnsi" w:hAnsiTheme="minorHAnsi" w:cstheme="minorHAnsi"/>
          <w:sz w:val="24"/>
        </w:rPr>
        <w:t xml:space="preserve">The substantive issue underpinning the </w:t>
      </w:r>
      <w:r w:rsidR="000C109E">
        <w:rPr>
          <w:rFonts w:asciiTheme="minorHAnsi" w:hAnsiTheme="minorHAnsi" w:cstheme="minorHAnsi"/>
          <w:sz w:val="24"/>
        </w:rPr>
        <w:t xml:space="preserve">gender </w:t>
      </w:r>
      <w:r w:rsidR="006216A2">
        <w:rPr>
          <w:rFonts w:asciiTheme="minorHAnsi" w:hAnsiTheme="minorHAnsi" w:cstheme="minorHAnsi"/>
          <w:sz w:val="24"/>
        </w:rPr>
        <w:t xml:space="preserve">pay gap </w:t>
      </w:r>
      <w:r w:rsidR="000C109E">
        <w:rPr>
          <w:rFonts w:asciiTheme="minorHAnsi" w:hAnsiTheme="minorHAnsi" w:cstheme="minorHAnsi"/>
          <w:sz w:val="24"/>
        </w:rPr>
        <w:t>continues to be</w:t>
      </w:r>
      <w:r w:rsidRPr="007C3425">
        <w:rPr>
          <w:rFonts w:asciiTheme="minorHAnsi" w:hAnsiTheme="minorHAnsi" w:cstheme="minorHAnsi"/>
          <w:sz w:val="24"/>
        </w:rPr>
        <w:t xml:space="preserve"> the uneven distribution of male and female staff across the pay quartiles</w:t>
      </w:r>
      <w:r w:rsidR="006216A2">
        <w:rPr>
          <w:rFonts w:asciiTheme="minorHAnsi" w:hAnsiTheme="minorHAnsi" w:cstheme="minorHAnsi"/>
          <w:sz w:val="24"/>
        </w:rPr>
        <w:t xml:space="preserve">, with female staff being </w:t>
      </w:r>
      <w:r w:rsidR="000C109E">
        <w:rPr>
          <w:rFonts w:asciiTheme="minorHAnsi" w:hAnsiTheme="minorHAnsi" w:cstheme="minorHAnsi"/>
          <w:sz w:val="24"/>
        </w:rPr>
        <w:t xml:space="preserve">particularly </w:t>
      </w:r>
      <w:r w:rsidR="006216A2">
        <w:rPr>
          <w:rFonts w:asciiTheme="minorHAnsi" w:hAnsiTheme="minorHAnsi" w:cstheme="minorHAnsi"/>
          <w:sz w:val="24"/>
        </w:rPr>
        <w:t xml:space="preserve">under-represented in senior academic positions. </w:t>
      </w:r>
      <w:r w:rsidR="006B4719">
        <w:rPr>
          <w:rFonts w:asciiTheme="minorHAnsi" w:hAnsiTheme="minorHAnsi" w:cstheme="minorHAnsi"/>
          <w:sz w:val="24"/>
        </w:rPr>
        <w:t xml:space="preserve">Reducing </w:t>
      </w:r>
      <w:r w:rsidR="00EC166C">
        <w:rPr>
          <w:rFonts w:asciiTheme="minorHAnsi" w:hAnsiTheme="minorHAnsi" w:cstheme="minorHAnsi"/>
          <w:sz w:val="24"/>
        </w:rPr>
        <w:t>our</w:t>
      </w:r>
      <w:r w:rsidR="006B4719">
        <w:rPr>
          <w:rFonts w:asciiTheme="minorHAnsi" w:hAnsiTheme="minorHAnsi" w:cstheme="minorHAnsi"/>
          <w:sz w:val="24"/>
        </w:rPr>
        <w:t xml:space="preserve"> gender pay gap is indivisible from creating</w:t>
      </w:r>
      <w:r w:rsidR="00103A05">
        <w:rPr>
          <w:rFonts w:asciiTheme="minorHAnsi" w:hAnsiTheme="minorHAnsi" w:cstheme="minorHAnsi"/>
          <w:sz w:val="24"/>
        </w:rPr>
        <w:t xml:space="preserve"> greater </w:t>
      </w:r>
      <w:r w:rsidRPr="007C3425">
        <w:rPr>
          <w:rFonts w:asciiTheme="minorHAnsi" w:hAnsiTheme="minorHAnsi" w:cstheme="minorHAnsi"/>
          <w:sz w:val="24"/>
        </w:rPr>
        <w:t xml:space="preserve">gender balance </w:t>
      </w:r>
      <w:r w:rsidR="006B4719">
        <w:rPr>
          <w:rFonts w:asciiTheme="minorHAnsi" w:hAnsiTheme="minorHAnsi" w:cstheme="minorHAnsi"/>
          <w:sz w:val="24"/>
        </w:rPr>
        <w:t>a</w:t>
      </w:r>
      <w:r w:rsidR="000C109E">
        <w:rPr>
          <w:rFonts w:asciiTheme="minorHAnsi" w:hAnsiTheme="minorHAnsi" w:cstheme="minorHAnsi"/>
          <w:sz w:val="24"/>
        </w:rPr>
        <w:t>cross</w:t>
      </w:r>
      <w:r w:rsidR="006B4719">
        <w:rPr>
          <w:rFonts w:asciiTheme="minorHAnsi" w:hAnsiTheme="minorHAnsi" w:cstheme="minorHAnsi"/>
          <w:sz w:val="24"/>
        </w:rPr>
        <w:t xml:space="preserve"> the University. </w:t>
      </w:r>
      <w:r w:rsidR="000C109E">
        <w:rPr>
          <w:rFonts w:asciiTheme="minorHAnsi" w:hAnsiTheme="minorHAnsi" w:cstheme="minorHAnsi"/>
          <w:sz w:val="24"/>
        </w:rPr>
        <w:t>We believe that the initiatives highlighted in this report will help produce the</w:t>
      </w:r>
      <w:r w:rsidR="006B4719">
        <w:rPr>
          <w:rFonts w:asciiTheme="minorHAnsi" w:hAnsiTheme="minorHAnsi" w:cstheme="minorHAnsi"/>
          <w:sz w:val="24"/>
        </w:rPr>
        <w:t xml:space="preserve"> sustainable and long-term change</w:t>
      </w:r>
      <w:r w:rsidR="000C109E">
        <w:rPr>
          <w:rFonts w:asciiTheme="minorHAnsi" w:hAnsiTheme="minorHAnsi" w:cstheme="minorHAnsi"/>
          <w:sz w:val="24"/>
        </w:rPr>
        <w:t xml:space="preserve"> </w:t>
      </w:r>
      <w:r w:rsidR="006216A2">
        <w:rPr>
          <w:rFonts w:asciiTheme="minorHAnsi" w:hAnsiTheme="minorHAnsi" w:cstheme="minorHAnsi"/>
          <w:sz w:val="24"/>
        </w:rPr>
        <w:t xml:space="preserve">necessary </w:t>
      </w:r>
      <w:r w:rsidR="000C109E">
        <w:rPr>
          <w:rFonts w:asciiTheme="minorHAnsi" w:hAnsiTheme="minorHAnsi" w:cstheme="minorHAnsi"/>
          <w:sz w:val="24"/>
        </w:rPr>
        <w:t xml:space="preserve">to achieve this. </w:t>
      </w:r>
    </w:p>
    <w:p w14:paraId="702A8689" w14:textId="4E880084" w:rsidR="00906E0B" w:rsidRDefault="00906E0B" w:rsidP="00977169">
      <w:pPr>
        <w:spacing w:line="276" w:lineRule="auto"/>
        <w:rPr>
          <w:rFonts w:asciiTheme="minorHAnsi" w:hAnsiTheme="minorHAnsi" w:cstheme="minorHAnsi"/>
          <w:sz w:val="24"/>
        </w:rPr>
      </w:pPr>
    </w:p>
    <w:p w14:paraId="52889BA6" w14:textId="13A3E1D0" w:rsidR="00906E0B" w:rsidRDefault="00103A05" w:rsidP="00977169">
      <w:pPr>
        <w:spacing w:line="276" w:lineRule="auto"/>
        <w:rPr>
          <w:rFonts w:asciiTheme="minorHAnsi" w:hAnsiTheme="minorHAnsi" w:cstheme="minorHAnsi"/>
          <w:sz w:val="24"/>
        </w:rPr>
      </w:pPr>
      <w:r>
        <w:rPr>
          <w:rFonts w:asciiTheme="minorHAnsi" w:hAnsiTheme="minorHAnsi" w:cstheme="minorHAnsi"/>
          <w:sz w:val="24"/>
        </w:rPr>
        <w:t xml:space="preserve">In 2022 </w:t>
      </w:r>
      <w:r w:rsidR="008D6C6D">
        <w:rPr>
          <w:rFonts w:asciiTheme="minorHAnsi" w:hAnsiTheme="minorHAnsi" w:cstheme="minorHAnsi"/>
          <w:sz w:val="24"/>
        </w:rPr>
        <w:t>we will also</w:t>
      </w:r>
      <w:r w:rsidR="003621DC">
        <w:rPr>
          <w:rFonts w:asciiTheme="minorHAnsi" w:hAnsiTheme="minorHAnsi" w:cstheme="minorHAnsi"/>
          <w:sz w:val="24"/>
        </w:rPr>
        <w:t>:</w:t>
      </w:r>
    </w:p>
    <w:p w14:paraId="263A6942" w14:textId="29E4C957" w:rsidR="00241C22" w:rsidRDefault="00241C22" w:rsidP="00977169">
      <w:pPr>
        <w:spacing w:line="276" w:lineRule="auto"/>
        <w:rPr>
          <w:rFonts w:asciiTheme="minorHAnsi" w:hAnsiTheme="minorHAnsi" w:cstheme="minorHAnsi"/>
          <w:sz w:val="24"/>
        </w:rPr>
      </w:pPr>
    </w:p>
    <w:p w14:paraId="0F694D26" w14:textId="2D3B7B16" w:rsidR="00241C22" w:rsidRPr="003621DC" w:rsidRDefault="00241C22" w:rsidP="003621DC">
      <w:pPr>
        <w:pStyle w:val="ListParagraph"/>
        <w:numPr>
          <w:ilvl w:val="0"/>
          <w:numId w:val="11"/>
        </w:numPr>
        <w:spacing w:line="276" w:lineRule="auto"/>
        <w:rPr>
          <w:rFonts w:asciiTheme="minorHAnsi" w:hAnsiTheme="minorHAnsi" w:cstheme="minorHAnsi"/>
          <w:sz w:val="24"/>
        </w:rPr>
      </w:pPr>
      <w:r w:rsidRPr="003621DC">
        <w:rPr>
          <w:rFonts w:asciiTheme="minorHAnsi" w:hAnsiTheme="minorHAnsi" w:cstheme="minorHAnsi"/>
          <w:sz w:val="24"/>
        </w:rPr>
        <w:t>Analyse the interaction between gender and ethnicity, to identify more nuanced ways of addressing the causes of our pay gaps.</w:t>
      </w:r>
    </w:p>
    <w:p w14:paraId="490CE991" w14:textId="77777777" w:rsidR="00241C22" w:rsidRPr="003621DC" w:rsidRDefault="00241C22" w:rsidP="00977169">
      <w:pPr>
        <w:spacing w:line="276" w:lineRule="auto"/>
        <w:rPr>
          <w:rFonts w:asciiTheme="minorHAnsi" w:hAnsiTheme="minorHAnsi" w:cstheme="minorHAnsi"/>
          <w:sz w:val="24"/>
        </w:rPr>
      </w:pPr>
    </w:p>
    <w:p w14:paraId="45DC5FB3" w14:textId="77777777" w:rsidR="003621DC" w:rsidRDefault="003621DC" w:rsidP="007C3425">
      <w:pPr>
        <w:pStyle w:val="ListParagraph"/>
        <w:numPr>
          <w:ilvl w:val="0"/>
          <w:numId w:val="11"/>
        </w:numPr>
        <w:spacing w:line="276" w:lineRule="auto"/>
        <w:rPr>
          <w:rFonts w:asciiTheme="minorHAnsi" w:hAnsiTheme="minorHAnsi" w:cstheme="minorHAnsi"/>
          <w:sz w:val="24"/>
        </w:rPr>
      </w:pPr>
      <w:r w:rsidRPr="003621DC">
        <w:rPr>
          <w:rFonts w:asciiTheme="minorHAnsi" w:hAnsiTheme="minorHAnsi" w:cstheme="minorHAnsi"/>
          <w:sz w:val="24"/>
        </w:rPr>
        <w:t>Work with our academic Colleges to develop their own</w:t>
      </w:r>
      <w:r w:rsidR="00977169" w:rsidRPr="003621DC">
        <w:rPr>
          <w:rFonts w:asciiTheme="minorHAnsi" w:hAnsiTheme="minorHAnsi" w:cstheme="minorHAnsi"/>
          <w:sz w:val="24"/>
        </w:rPr>
        <w:t xml:space="preserve"> Equality Plan</w:t>
      </w:r>
      <w:r w:rsidRPr="003621DC">
        <w:rPr>
          <w:rFonts w:asciiTheme="minorHAnsi" w:hAnsiTheme="minorHAnsi" w:cstheme="minorHAnsi"/>
          <w:sz w:val="24"/>
        </w:rPr>
        <w:t>s</w:t>
      </w:r>
      <w:r>
        <w:rPr>
          <w:rFonts w:asciiTheme="minorHAnsi" w:hAnsiTheme="minorHAnsi" w:cstheme="minorHAnsi"/>
          <w:sz w:val="24"/>
        </w:rPr>
        <w:t>,</w:t>
      </w:r>
      <w:r w:rsidR="00977169" w:rsidRPr="003621DC">
        <w:rPr>
          <w:rFonts w:asciiTheme="minorHAnsi" w:hAnsiTheme="minorHAnsi" w:cstheme="minorHAnsi"/>
          <w:sz w:val="24"/>
        </w:rPr>
        <w:t xml:space="preserve"> with local </w:t>
      </w:r>
      <w:r w:rsidRPr="003621DC">
        <w:rPr>
          <w:rFonts w:asciiTheme="minorHAnsi" w:hAnsiTheme="minorHAnsi" w:cstheme="minorHAnsi"/>
          <w:sz w:val="24"/>
        </w:rPr>
        <w:t xml:space="preserve">benchmarks </w:t>
      </w:r>
      <w:r w:rsidR="00977169" w:rsidRPr="003621DC">
        <w:rPr>
          <w:rFonts w:asciiTheme="minorHAnsi" w:hAnsiTheme="minorHAnsi" w:cstheme="minorHAnsi"/>
          <w:sz w:val="24"/>
        </w:rPr>
        <w:t xml:space="preserve">for </w:t>
      </w:r>
      <w:r w:rsidRPr="003621DC">
        <w:rPr>
          <w:rFonts w:asciiTheme="minorHAnsi" w:hAnsiTheme="minorHAnsi" w:cstheme="minorHAnsi"/>
          <w:sz w:val="24"/>
        </w:rPr>
        <w:t>senior</w:t>
      </w:r>
      <w:r w:rsidR="00977169" w:rsidRPr="003621DC">
        <w:rPr>
          <w:rFonts w:asciiTheme="minorHAnsi" w:hAnsiTheme="minorHAnsi" w:cstheme="minorHAnsi"/>
          <w:sz w:val="24"/>
        </w:rPr>
        <w:t xml:space="preserve"> female academic staff</w:t>
      </w:r>
      <w:r>
        <w:rPr>
          <w:rFonts w:asciiTheme="minorHAnsi" w:hAnsiTheme="minorHAnsi" w:cstheme="minorHAnsi"/>
          <w:sz w:val="24"/>
        </w:rPr>
        <w:t xml:space="preserve"> that are both achievable and aspirational. </w:t>
      </w:r>
    </w:p>
    <w:p w14:paraId="3250223B" w14:textId="77777777" w:rsidR="003621DC" w:rsidRPr="003621DC" w:rsidRDefault="003621DC" w:rsidP="003621DC">
      <w:pPr>
        <w:pStyle w:val="ListParagraph"/>
        <w:rPr>
          <w:rFonts w:asciiTheme="minorHAnsi" w:hAnsiTheme="minorHAnsi" w:cstheme="minorHAnsi"/>
          <w:sz w:val="24"/>
          <w:highlight w:val="yellow"/>
        </w:rPr>
      </w:pPr>
    </w:p>
    <w:p w14:paraId="211B4020" w14:textId="40A36FC5" w:rsidR="007E2CBD" w:rsidRPr="003621DC" w:rsidRDefault="003621DC" w:rsidP="007C3425">
      <w:pPr>
        <w:pStyle w:val="ListParagraph"/>
        <w:numPr>
          <w:ilvl w:val="0"/>
          <w:numId w:val="11"/>
        </w:numPr>
        <w:spacing w:line="276" w:lineRule="auto"/>
        <w:rPr>
          <w:rFonts w:asciiTheme="minorHAnsi" w:hAnsiTheme="minorHAnsi" w:cstheme="minorHAnsi"/>
          <w:sz w:val="24"/>
        </w:rPr>
      </w:pPr>
      <w:r w:rsidRPr="003621DC">
        <w:rPr>
          <w:rFonts w:asciiTheme="minorHAnsi" w:hAnsiTheme="minorHAnsi" w:cstheme="minorHAnsi"/>
          <w:sz w:val="24"/>
        </w:rPr>
        <w:t xml:space="preserve">Continue to address </w:t>
      </w:r>
      <w:r w:rsidR="007E2CBD" w:rsidRPr="003621DC">
        <w:rPr>
          <w:rFonts w:asciiTheme="minorHAnsi" w:hAnsiTheme="minorHAnsi" w:cstheme="minorHAnsi"/>
          <w:sz w:val="24"/>
        </w:rPr>
        <w:t xml:space="preserve">the impact of </w:t>
      </w:r>
      <w:r w:rsidRPr="003621DC">
        <w:rPr>
          <w:rFonts w:asciiTheme="minorHAnsi" w:hAnsiTheme="minorHAnsi" w:cstheme="minorHAnsi"/>
          <w:sz w:val="24"/>
        </w:rPr>
        <w:t xml:space="preserve">the </w:t>
      </w:r>
      <w:r w:rsidR="007E2CBD" w:rsidRPr="003621DC">
        <w:rPr>
          <w:rFonts w:asciiTheme="minorHAnsi" w:hAnsiTheme="minorHAnsi" w:cstheme="minorHAnsi"/>
          <w:sz w:val="24"/>
        </w:rPr>
        <w:t>Covid-19</w:t>
      </w:r>
      <w:r w:rsidRPr="003621DC">
        <w:rPr>
          <w:rFonts w:asciiTheme="minorHAnsi" w:hAnsiTheme="minorHAnsi" w:cstheme="minorHAnsi"/>
          <w:sz w:val="24"/>
        </w:rPr>
        <w:t xml:space="preserve"> pandemic </w:t>
      </w:r>
      <w:r w:rsidR="007E2CBD" w:rsidRPr="003621DC">
        <w:rPr>
          <w:rFonts w:asciiTheme="minorHAnsi" w:hAnsiTheme="minorHAnsi" w:cstheme="minorHAnsi"/>
          <w:sz w:val="24"/>
        </w:rPr>
        <w:t xml:space="preserve">on </w:t>
      </w:r>
      <w:r w:rsidRPr="003621DC">
        <w:rPr>
          <w:rFonts w:asciiTheme="minorHAnsi" w:hAnsiTheme="minorHAnsi" w:cstheme="minorHAnsi"/>
          <w:sz w:val="24"/>
        </w:rPr>
        <w:t xml:space="preserve">our staff, being particularly alert to the potential impacts on female </w:t>
      </w:r>
      <w:r w:rsidR="007E2CBD" w:rsidRPr="003621DC">
        <w:rPr>
          <w:rFonts w:asciiTheme="minorHAnsi" w:hAnsiTheme="minorHAnsi" w:cstheme="minorHAnsi"/>
          <w:sz w:val="24"/>
        </w:rPr>
        <w:t>academic staff</w:t>
      </w:r>
      <w:r w:rsidRPr="003621DC">
        <w:rPr>
          <w:rFonts w:asciiTheme="minorHAnsi" w:hAnsiTheme="minorHAnsi" w:cstheme="minorHAnsi"/>
          <w:sz w:val="24"/>
        </w:rPr>
        <w:t xml:space="preserve">, their outputs and career progression. </w:t>
      </w:r>
      <w:r>
        <w:rPr>
          <w:rFonts w:asciiTheme="minorHAnsi" w:hAnsiTheme="minorHAnsi" w:cstheme="minorHAnsi"/>
          <w:sz w:val="24"/>
        </w:rPr>
        <w:t>Academic p</w:t>
      </w:r>
      <w:r w:rsidR="007E2CBD" w:rsidRPr="003621DC">
        <w:rPr>
          <w:rFonts w:asciiTheme="minorHAnsi" w:hAnsiTheme="minorHAnsi" w:cstheme="minorHAnsi"/>
          <w:sz w:val="24"/>
        </w:rPr>
        <w:t xml:space="preserve">romotions panels will </w:t>
      </w:r>
      <w:r w:rsidRPr="003621DC">
        <w:rPr>
          <w:rFonts w:asciiTheme="minorHAnsi" w:hAnsiTheme="minorHAnsi" w:cstheme="minorHAnsi"/>
          <w:sz w:val="24"/>
        </w:rPr>
        <w:t xml:space="preserve">continue to </w:t>
      </w:r>
      <w:proofErr w:type="spellStart"/>
      <w:r w:rsidR="007E2CBD" w:rsidRPr="003621DC">
        <w:rPr>
          <w:rFonts w:asciiTheme="minorHAnsi" w:hAnsiTheme="minorHAnsi" w:cstheme="minorHAnsi"/>
          <w:sz w:val="24"/>
        </w:rPr>
        <w:t>weight</w:t>
      </w:r>
      <w:proofErr w:type="spellEnd"/>
      <w:r w:rsidR="007E2CBD" w:rsidRPr="003621DC">
        <w:rPr>
          <w:rFonts w:asciiTheme="minorHAnsi" w:hAnsiTheme="minorHAnsi" w:cstheme="minorHAnsi"/>
          <w:sz w:val="24"/>
        </w:rPr>
        <w:t xml:space="preserve"> the impact of Covid-19 and other external factors on application</w:t>
      </w:r>
      <w:r w:rsidRPr="003621DC">
        <w:rPr>
          <w:rFonts w:asciiTheme="minorHAnsi" w:hAnsiTheme="minorHAnsi" w:cstheme="minorHAnsi"/>
          <w:sz w:val="24"/>
        </w:rPr>
        <w:t>s</w:t>
      </w:r>
      <w:r w:rsidR="007E2CBD" w:rsidRPr="003621DC">
        <w:rPr>
          <w:rFonts w:asciiTheme="minorHAnsi" w:hAnsiTheme="minorHAnsi" w:cstheme="minorHAnsi"/>
          <w:sz w:val="24"/>
        </w:rPr>
        <w:t xml:space="preserve"> for promotion</w:t>
      </w:r>
      <w:r w:rsidRPr="003621DC">
        <w:rPr>
          <w:rFonts w:asciiTheme="minorHAnsi" w:hAnsiTheme="minorHAnsi" w:cstheme="minorHAnsi"/>
          <w:sz w:val="24"/>
        </w:rPr>
        <w:t xml:space="preserve"> and managers </w:t>
      </w:r>
      <w:r>
        <w:rPr>
          <w:rFonts w:asciiTheme="minorHAnsi" w:hAnsiTheme="minorHAnsi" w:cstheme="minorHAnsi"/>
          <w:sz w:val="24"/>
        </w:rPr>
        <w:t xml:space="preserve">to </w:t>
      </w:r>
      <w:r w:rsidR="007E2CBD" w:rsidRPr="003621DC">
        <w:rPr>
          <w:rFonts w:asciiTheme="minorHAnsi" w:hAnsiTheme="minorHAnsi" w:cstheme="minorHAnsi"/>
          <w:sz w:val="24"/>
        </w:rPr>
        <w:t xml:space="preserve">discuss the </w:t>
      </w:r>
      <w:r w:rsidRPr="003621DC">
        <w:rPr>
          <w:rFonts w:asciiTheme="minorHAnsi" w:hAnsiTheme="minorHAnsi" w:cstheme="minorHAnsi"/>
          <w:sz w:val="24"/>
        </w:rPr>
        <w:t xml:space="preserve">ongoing </w:t>
      </w:r>
      <w:r w:rsidR="007E2CBD" w:rsidRPr="003621DC">
        <w:rPr>
          <w:rFonts w:asciiTheme="minorHAnsi" w:hAnsiTheme="minorHAnsi" w:cstheme="minorHAnsi"/>
          <w:sz w:val="24"/>
        </w:rPr>
        <w:t xml:space="preserve">impact of Covid-19 in </w:t>
      </w:r>
      <w:r w:rsidRPr="003621DC">
        <w:rPr>
          <w:rFonts w:asciiTheme="minorHAnsi" w:hAnsiTheme="minorHAnsi" w:cstheme="minorHAnsi"/>
          <w:sz w:val="24"/>
        </w:rPr>
        <w:t xml:space="preserve">annual </w:t>
      </w:r>
      <w:r w:rsidR="007E2CBD" w:rsidRPr="003621DC">
        <w:rPr>
          <w:rFonts w:asciiTheme="minorHAnsi" w:hAnsiTheme="minorHAnsi" w:cstheme="minorHAnsi"/>
          <w:sz w:val="24"/>
        </w:rPr>
        <w:t>PDRs.</w:t>
      </w:r>
    </w:p>
    <w:p w14:paraId="2B767384" w14:textId="7A3A4D24" w:rsidR="00796381" w:rsidRPr="002B3D9A" w:rsidRDefault="00796381" w:rsidP="007C3425">
      <w:pPr>
        <w:spacing w:line="276" w:lineRule="auto"/>
        <w:rPr>
          <w:rFonts w:asciiTheme="minorHAnsi" w:hAnsiTheme="minorHAnsi" w:cstheme="minorHAnsi"/>
          <w:sz w:val="24"/>
          <w:highlight w:val="yellow"/>
        </w:rPr>
      </w:pPr>
    </w:p>
    <w:p w14:paraId="7CE6F5A2" w14:textId="166C6B7B" w:rsidR="00DD70D8" w:rsidRPr="007C3425" w:rsidRDefault="00DD70D8" w:rsidP="007C3425">
      <w:pPr>
        <w:spacing w:line="276" w:lineRule="auto"/>
        <w:rPr>
          <w:rFonts w:asciiTheme="minorHAnsi" w:hAnsiTheme="minorHAnsi" w:cstheme="minorHAnsi"/>
          <w:sz w:val="24"/>
        </w:rPr>
      </w:pPr>
    </w:p>
    <w:sectPr w:rsidR="00DD70D8" w:rsidRPr="007C3425" w:rsidSect="00D36723">
      <w:headerReference w:type="default" r:id="rId13"/>
      <w:pgSz w:w="11900" w:h="16840"/>
      <w:pgMar w:top="1440" w:right="1440" w:bottom="1440" w:left="144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5B4DF" w16cex:dateUtc="2021-12-16T12:51:00Z"/>
  <w16cex:commentExtensible w16cex:durableId="2565B5CA" w16cex:dateUtc="2021-12-16T12:55:00Z"/>
  <w16cex:commentExtensible w16cex:durableId="2565B5FE" w16cex:dateUtc="2021-12-16T12:56:00Z"/>
  <w16cex:commentExtensible w16cex:durableId="2565B627" w16cex:dateUtc="2021-12-16T12:57:00Z"/>
  <w16cex:commentExtensible w16cex:durableId="2565B843" w16cex:dateUtc="2021-12-16T13:06:00Z"/>
  <w16cex:commentExtensible w16cex:durableId="2565B873" w16cex:dateUtc="2021-12-16T13:06:00Z"/>
  <w16cex:commentExtensible w16cex:durableId="2565B867" w16cex:dateUtc="2021-12-16T13: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B514D" w14:textId="77777777" w:rsidR="00695D35" w:rsidRDefault="00695D35" w:rsidP="006C68C8">
      <w:r>
        <w:separator/>
      </w:r>
    </w:p>
  </w:endnote>
  <w:endnote w:type="continuationSeparator" w:id="0">
    <w:p w14:paraId="3C3BCF9F" w14:textId="77777777" w:rsidR="00695D35" w:rsidRDefault="00695D35" w:rsidP="006C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E820" w14:textId="77777777" w:rsidR="00695D35" w:rsidRDefault="00695D35" w:rsidP="006C68C8">
      <w:r>
        <w:separator/>
      </w:r>
    </w:p>
  </w:footnote>
  <w:footnote w:type="continuationSeparator" w:id="0">
    <w:p w14:paraId="459D84E0" w14:textId="77777777" w:rsidR="00695D35" w:rsidRDefault="00695D35" w:rsidP="006C6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DD70D8" w:rsidRDefault="00DD70D8" w:rsidP="006C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5AB"/>
    <w:multiLevelType w:val="hybridMultilevel"/>
    <w:tmpl w:val="067C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8696A"/>
    <w:multiLevelType w:val="hybridMultilevel"/>
    <w:tmpl w:val="C39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33F63"/>
    <w:multiLevelType w:val="hybridMultilevel"/>
    <w:tmpl w:val="E02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E2485"/>
    <w:multiLevelType w:val="hybridMultilevel"/>
    <w:tmpl w:val="67E8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42030"/>
    <w:multiLevelType w:val="hybridMultilevel"/>
    <w:tmpl w:val="F6C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31750"/>
    <w:multiLevelType w:val="hybridMultilevel"/>
    <w:tmpl w:val="1D3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33168"/>
    <w:multiLevelType w:val="hybridMultilevel"/>
    <w:tmpl w:val="2C1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C3409"/>
    <w:multiLevelType w:val="multilevel"/>
    <w:tmpl w:val="1C4E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D359D"/>
    <w:multiLevelType w:val="hybridMultilevel"/>
    <w:tmpl w:val="C50A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8A4866"/>
    <w:multiLevelType w:val="hybridMultilevel"/>
    <w:tmpl w:val="6108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D752C6"/>
    <w:multiLevelType w:val="hybridMultilevel"/>
    <w:tmpl w:val="290E7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1B689D"/>
    <w:multiLevelType w:val="hybridMultilevel"/>
    <w:tmpl w:val="5D7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16D22"/>
    <w:multiLevelType w:val="hybridMultilevel"/>
    <w:tmpl w:val="FA3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3"/>
  </w:num>
  <w:num w:numId="5">
    <w:abstractNumId w:val="5"/>
  </w:num>
  <w:num w:numId="6">
    <w:abstractNumId w:val="6"/>
  </w:num>
  <w:num w:numId="7">
    <w:abstractNumId w:val="13"/>
  </w:num>
  <w:num w:numId="8">
    <w:abstractNumId w:val="2"/>
  </w:num>
  <w:num w:numId="9">
    <w:abstractNumId w:val="12"/>
  </w:num>
  <w:num w:numId="10">
    <w:abstractNumId w:val="4"/>
  </w:num>
  <w:num w:numId="11">
    <w:abstractNumId w:val="0"/>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5A08"/>
    <w:rsid w:val="00005FAC"/>
    <w:rsid w:val="0000650A"/>
    <w:rsid w:val="000107D0"/>
    <w:rsid w:val="00045C53"/>
    <w:rsid w:val="00050741"/>
    <w:rsid w:val="00050989"/>
    <w:rsid w:val="00050AC0"/>
    <w:rsid w:val="00073BB5"/>
    <w:rsid w:val="0008397A"/>
    <w:rsid w:val="0008520F"/>
    <w:rsid w:val="00095F30"/>
    <w:rsid w:val="000B0CFF"/>
    <w:rsid w:val="000C109E"/>
    <w:rsid w:val="000C5A49"/>
    <w:rsid w:val="000E73A4"/>
    <w:rsid w:val="00103A05"/>
    <w:rsid w:val="00106674"/>
    <w:rsid w:val="0013741D"/>
    <w:rsid w:val="00152457"/>
    <w:rsid w:val="00187DC4"/>
    <w:rsid w:val="00195C11"/>
    <w:rsid w:val="001B0C50"/>
    <w:rsid w:val="001B616A"/>
    <w:rsid w:val="001F344C"/>
    <w:rsid w:val="00200BE3"/>
    <w:rsid w:val="00202859"/>
    <w:rsid w:val="0020531B"/>
    <w:rsid w:val="002202F8"/>
    <w:rsid w:val="00226EDB"/>
    <w:rsid w:val="00235087"/>
    <w:rsid w:val="00237BEA"/>
    <w:rsid w:val="00241C22"/>
    <w:rsid w:val="002434F7"/>
    <w:rsid w:val="00253C9E"/>
    <w:rsid w:val="002674C4"/>
    <w:rsid w:val="0027007F"/>
    <w:rsid w:val="002806C2"/>
    <w:rsid w:val="00287182"/>
    <w:rsid w:val="00287820"/>
    <w:rsid w:val="002B3D9A"/>
    <w:rsid w:val="002C4CC0"/>
    <w:rsid w:val="00302987"/>
    <w:rsid w:val="00303C36"/>
    <w:rsid w:val="00320A33"/>
    <w:rsid w:val="0032550E"/>
    <w:rsid w:val="003279CD"/>
    <w:rsid w:val="00330D7A"/>
    <w:rsid w:val="00343733"/>
    <w:rsid w:val="003621DC"/>
    <w:rsid w:val="0036270C"/>
    <w:rsid w:val="00370A7B"/>
    <w:rsid w:val="00375BA4"/>
    <w:rsid w:val="0037607B"/>
    <w:rsid w:val="003A5053"/>
    <w:rsid w:val="003D33F7"/>
    <w:rsid w:val="003F5065"/>
    <w:rsid w:val="00401986"/>
    <w:rsid w:val="0043420A"/>
    <w:rsid w:val="004343B7"/>
    <w:rsid w:val="0046317D"/>
    <w:rsid w:val="00471C57"/>
    <w:rsid w:val="004777EA"/>
    <w:rsid w:val="00477FB0"/>
    <w:rsid w:val="00485247"/>
    <w:rsid w:val="00491EED"/>
    <w:rsid w:val="004C3AF8"/>
    <w:rsid w:val="004C6327"/>
    <w:rsid w:val="004C7ADE"/>
    <w:rsid w:val="004E30C2"/>
    <w:rsid w:val="00503333"/>
    <w:rsid w:val="00511650"/>
    <w:rsid w:val="0051209D"/>
    <w:rsid w:val="00516C95"/>
    <w:rsid w:val="00524810"/>
    <w:rsid w:val="00540E2F"/>
    <w:rsid w:val="00541A06"/>
    <w:rsid w:val="00543FA7"/>
    <w:rsid w:val="0055645A"/>
    <w:rsid w:val="00564D2D"/>
    <w:rsid w:val="005658A9"/>
    <w:rsid w:val="00585B1F"/>
    <w:rsid w:val="005C2D31"/>
    <w:rsid w:val="005E44D0"/>
    <w:rsid w:val="005E70F8"/>
    <w:rsid w:val="005F7550"/>
    <w:rsid w:val="006216A2"/>
    <w:rsid w:val="006246B5"/>
    <w:rsid w:val="00625ECD"/>
    <w:rsid w:val="00637626"/>
    <w:rsid w:val="00645FA6"/>
    <w:rsid w:val="00653118"/>
    <w:rsid w:val="00662FBC"/>
    <w:rsid w:val="00670B13"/>
    <w:rsid w:val="00670D76"/>
    <w:rsid w:val="00677B34"/>
    <w:rsid w:val="00680C36"/>
    <w:rsid w:val="006927EB"/>
    <w:rsid w:val="00692F13"/>
    <w:rsid w:val="00695D35"/>
    <w:rsid w:val="00696DB0"/>
    <w:rsid w:val="006B0702"/>
    <w:rsid w:val="006B3D68"/>
    <w:rsid w:val="006B4719"/>
    <w:rsid w:val="006C415F"/>
    <w:rsid w:val="006C60F7"/>
    <w:rsid w:val="006C68C8"/>
    <w:rsid w:val="006C6B06"/>
    <w:rsid w:val="006D045A"/>
    <w:rsid w:val="006D3213"/>
    <w:rsid w:val="006D3537"/>
    <w:rsid w:val="006D7285"/>
    <w:rsid w:val="006F26ED"/>
    <w:rsid w:val="006F349B"/>
    <w:rsid w:val="0070607B"/>
    <w:rsid w:val="007129B1"/>
    <w:rsid w:val="00714BE2"/>
    <w:rsid w:val="00715A28"/>
    <w:rsid w:val="00721634"/>
    <w:rsid w:val="00726363"/>
    <w:rsid w:val="007275F2"/>
    <w:rsid w:val="00727BBC"/>
    <w:rsid w:val="00735B25"/>
    <w:rsid w:val="007363F3"/>
    <w:rsid w:val="007402A9"/>
    <w:rsid w:val="00744558"/>
    <w:rsid w:val="00746C7F"/>
    <w:rsid w:val="00766311"/>
    <w:rsid w:val="00767CD4"/>
    <w:rsid w:val="00771028"/>
    <w:rsid w:val="00796381"/>
    <w:rsid w:val="007B10BC"/>
    <w:rsid w:val="007B34B7"/>
    <w:rsid w:val="007C3425"/>
    <w:rsid w:val="007D0F44"/>
    <w:rsid w:val="007D292D"/>
    <w:rsid w:val="007E2CBD"/>
    <w:rsid w:val="007E7FC7"/>
    <w:rsid w:val="007F1CAC"/>
    <w:rsid w:val="00822AF1"/>
    <w:rsid w:val="00825B26"/>
    <w:rsid w:val="00835C9F"/>
    <w:rsid w:val="00836218"/>
    <w:rsid w:val="00854C93"/>
    <w:rsid w:val="00873604"/>
    <w:rsid w:val="00876D18"/>
    <w:rsid w:val="00884517"/>
    <w:rsid w:val="008924FD"/>
    <w:rsid w:val="008979DF"/>
    <w:rsid w:val="008A425D"/>
    <w:rsid w:val="008B588C"/>
    <w:rsid w:val="008C6BF8"/>
    <w:rsid w:val="008D6727"/>
    <w:rsid w:val="008D6C6D"/>
    <w:rsid w:val="00906E0B"/>
    <w:rsid w:val="009248F7"/>
    <w:rsid w:val="009253DE"/>
    <w:rsid w:val="00926084"/>
    <w:rsid w:val="00937743"/>
    <w:rsid w:val="009429FF"/>
    <w:rsid w:val="00966CDA"/>
    <w:rsid w:val="00966EA4"/>
    <w:rsid w:val="009751F3"/>
    <w:rsid w:val="00977169"/>
    <w:rsid w:val="00987EC5"/>
    <w:rsid w:val="009903BA"/>
    <w:rsid w:val="009B6E18"/>
    <w:rsid w:val="009C11C7"/>
    <w:rsid w:val="009D73CB"/>
    <w:rsid w:val="009E4427"/>
    <w:rsid w:val="009F229D"/>
    <w:rsid w:val="00A012A9"/>
    <w:rsid w:val="00A1131B"/>
    <w:rsid w:val="00A41C0F"/>
    <w:rsid w:val="00A473B7"/>
    <w:rsid w:val="00A64598"/>
    <w:rsid w:val="00A77C9C"/>
    <w:rsid w:val="00AD3934"/>
    <w:rsid w:val="00AD7311"/>
    <w:rsid w:val="00AD77C6"/>
    <w:rsid w:val="00AE2E51"/>
    <w:rsid w:val="00AE6764"/>
    <w:rsid w:val="00AF2CBA"/>
    <w:rsid w:val="00AF6B03"/>
    <w:rsid w:val="00B126F9"/>
    <w:rsid w:val="00B2196E"/>
    <w:rsid w:val="00B556C8"/>
    <w:rsid w:val="00B61DD3"/>
    <w:rsid w:val="00B70174"/>
    <w:rsid w:val="00B74CD8"/>
    <w:rsid w:val="00B910AC"/>
    <w:rsid w:val="00B97646"/>
    <w:rsid w:val="00BA4E5C"/>
    <w:rsid w:val="00BB7BFC"/>
    <w:rsid w:val="00C00082"/>
    <w:rsid w:val="00C31275"/>
    <w:rsid w:val="00C41F7C"/>
    <w:rsid w:val="00C51F0B"/>
    <w:rsid w:val="00C63DE9"/>
    <w:rsid w:val="00C85C30"/>
    <w:rsid w:val="00C943FC"/>
    <w:rsid w:val="00CA4B09"/>
    <w:rsid w:val="00CB797C"/>
    <w:rsid w:val="00CC3E63"/>
    <w:rsid w:val="00CD21BD"/>
    <w:rsid w:val="00CD404D"/>
    <w:rsid w:val="00D030B4"/>
    <w:rsid w:val="00D32991"/>
    <w:rsid w:val="00D36723"/>
    <w:rsid w:val="00D527FC"/>
    <w:rsid w:val="00D542B7"/>
    <w:rsid w:val="00D7056D"/>
    <w:rsid w:val="00DA1BCA"/>
    <w:rsid w:val="00DC6F9F"/>
    <w:rsid w:val="00DD70D8"/>
    <w:rsid w:val="00DE5099"/>
    <w:rsid w:val="00E007DA"/>
    <w:rsid w:val="00E02971"/>
    <w:rsid w:val="00E31F62"/>
    <w:rsid w:val="00E44979"/>
    <w:rsid w:val="00E631AD"/>
    <w:rsid w:val="00E63764"/>
    <w:rsid w:val="00E82712"/>
    <w:rsid w:val="00E84C26"/>
    <w:rsid w:val="00E93B92"/>
    <w:rsid w:val="00E951DD"/>
    <w:rsid w:val="00E97C6A"/>
    <w:rsid w:val="00EB2AAB"/>
    <w:rsid w:val="00EB7C29"/>
    <w:rsid w:val="00EC0DBE"/>
    <w:rsid w:val="00EC166C"/>
    <w:rsid w:val="00EC76E2"/>
    <w:rsid w:val="00ED2BED"/>
    <w:rsid w:val="00EE4FF4"/>
    <w:rsid w:val="00F0297A"/>
    <w:rsid w:val="00F12F3F"/>
    <w:rsid w:val="00F243D3"/>
    <w:rsid w:val="00F32E2A"/>
    <w:rsid w:val="00F4153B"/>
    <w:rsid w:val="00F43AA5"/>
    <w:rsid w:val="00F44772"/>
    <w:rsid w:val="00F468F2"/>
    <w:rsid w:val="00F61798"/>
    <w:rsid w:val="00F6184C"/>
    <w:rsid w:val="00F84AA9"/>
    <w:rsid w:val="00FA6EBC"/>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C8"/>
    <w:rPr>
      <w:rFonts w:ascii="Arial" w:hAnsi="Arial" w:cs="Arial"/>
      <w:sz w:val="28"/>
    </w:rPr>
  </w:style>
  <w:style w:type="paragraph" w:styleId="Heading1">
    <w:name w:val="heading 1"/>
    <w:basedOn w:val="Normal"/>
    <w:next w:val="Normal"/>
    <w:link w:val="Heading1Char"/>
    <w:uiPriority w:val="9"/>
    <w:qFormat/>
    <w:rsid w:val="00AD77C6"/>
    <w:pPr>
      <w:keepNext/>
      <w:keepLines/>
      <w:spacing w:before="240"/>
      <w:outlineLvl w:val="0"/>
    </w:pPr>
    <w:rPr>
      <w:rFonts w:eastAsiaTheme="majorEastAsia"/>
      <w:b/>
      <w:color w:val="2F5496" w:themeColor="accent1" w:themeShade="BF"/>
      <w:sz w:val="36"/>
      <w:szCs w:val="32"/>
    </w:rPr>
  </w:style>
  <w:style w:type="paragraph" w:styleId="Heading2">
    <w:name w:val="heading 2"/>
    <w:basedOn w:val="Normal"/>
    <w:next w:val="Normal"/>
    <w:link w:val="Heading2Char"/>
    <w:uiPriority w:val="9"/>
    <w:unhideWhenUsed/>
    <w:qFormat/>
    <w:rsid w:val="00AD77C6"/>
    <w:pPr>
      <w:keepNext/>
      <w:keepLines/>
      <w:spacing w:before="40"/>
      <w:outlineLvl w:val="1"/>
    </w:pPr>
    <w:rPr>
      <w:rFonts w:eastAsiaTheme="majorEastAsia"/>
      <w:b/>
      <w:color w:val="2F5496" w:themeColor="accent1" w:themeShade="BF"/>
      <w:sz w:val="32"/>
      <w:szCs w:val="28"/>
    </w:rPr>
  </w:style>
  <w:style w:type="paragraph" w:styleId="Heading3">
    <w:name w:val="heading 3"/>
    <w:basedOn w:val="Normal"/>
    <w:next w:val="Normal"/>
    <w:link w:val="Heading3Char"/>
    <w:uiPriority w:val="9"/>
    <w:unhideWhenUsed/>
    <w:qFormat/>
    <w:rsid w:val="00AD77C6"/>
    <w:pPr>
      <w:keepNext/>
      <w:keepLines/>
      <w:spacing w:before="40"/>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77C6"/>
    <w:rPr>
      <w:rFonts w:ascii="Arial" w:eastAsiaTheme="majorEastAsia" w:hAnsi="Arial" w:cs="Arial"/>
      <w:b/>
      <w:color w:val="2F5496" w:themeColor="accent1" w:themeShade="BF"/>
      <w:sz w:val="36"/>
      <w:szCs w:val="32"/>
    </w:rPr>
  </w:style>
  <w:style w:type="character" w:customStyle="1" w:styleId="Heading2Char">
    <w:name w:val="Heading 2 Char"/>
    <w:basedOn w:val="DefaultParagraphFont"/>
    <w:link w:val="Heading2"/>
    <w:uiPriority w:val="9"/>
    <w:rsid w:val="00AD77C6"/>
    <w:rPr>
      <w:rFonts w:ascii="Arial" w:eastAsiaTheme="majorEastAsia" w:hAnsi="Arial" w:cs="Arial"/>
      <w:b/>
      <w:color w:val="2F5496" w:themeColor="accent1" w:themeShade="BF"/>
      <w:sz w:val="32"/>
      <w:szCs w:val="28"/>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customStyle="1" w:styleId="Heading3Char">
    <w:name w:val="Heading 3 Char"/>
    <w:basedOn w:val="DefaultParagraphFont"/>
    <w:link w:val="Heading3"/>
    <w:uiPriority w:val="9"/>
    <w:rsid w:val="00AD77C6"/>
    <w:rPr>
      <w:rFonts w:ascii="Arial" w:eastAsiaTheme="majorEastAsia" w:hAnsi="Arial" w:cstheme="majorBidi"/>
      <w:b/>
      <w:color w:val="1F3763" w:themeColor="accent1" w:themeShade="7F"/>
      <w:sz w:val="28"/>
    </w:rPr>
  </w:style>
  <w:style w:type="character" w:styleId="UnresolvedMention">
    <w:name w:val="Unresolved Mention"/>
    <w:basedOn w:val="DefaultParagraphFont"/>
    <w:uiPriority w:val="99"/>
    <w:semiHidden/>
    <w:unhideWhenUsed/>
    <w:rsid w:val="007E2CBD"/>
    <w:rPr>
      <w:color w:val="605E5C"/>
      <w:shd w:val="clear" w:color="auto" w:fill="E1DFDD"/>
    </w:rPr>
  </w:style>
  <w:style w:type="table" w:styleId="TableGrid">
    <w:name w:val="Table Grid"/>
    <w:basedOn w:val="TableNormal"/>
    <w:uiPriority w:val="39"/>
    <w:rsid w:val="0005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aragraph">
    <w:name w:val="im-paragraph"/>
    <w:basedOn w:val="Normal"/>
    <w:rsid w:val="005F7550"/>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C943FC"/>
    <w:rPr>
      <w:b/>
      <w:bCs/>
    </w:rPr>
  </w:style>
  <w:style w:type="paragraph" w:styleId="NormalWeb">
    <w:name w:val="Normal (Web)"/>
    <w:basedOn w:val="Normal"/>
    <w:uiPriority w:val="99"/>
    <w:semiHidden/>
    <w:unhideWhenUsed/>
    <w:rsid w:val="00C943FC"/>
    <w:pPr>
      <w:spacing w:before="100" w:beforeAutospacing="1" w:after="100" w:afterAutospacing="1"/>
    </w:pPr>
    <w:rPr>
      <w:rFonts w:ascii="Times New Roman" w:eastAsia="Times New Roman" w:hAnsi="Times New Roman" w:cs="Times New Roman"/>
      <w:sz w:val="24"/>
      <w:lang w:eastAsia="en-GB"/>
    </w:rPr>
  </w:style>
  <w:style w:type="paragraph" w:styleId="BalloonText">
    <w:name w:val="Balloon Text"/>
    <w:basedOn w:val="Normal"/>
    <w:link w:val="BalloonTextChar"/>
    <w:uiPriority w:val="99"/>
    <w:semiHidden/>
    <w:unhideWhenUsed/>
    <w:rsid w:val="00987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EC5"/>
    <w:rPr>
      <w:rFonts w:ascii="Segoe UI" w:hAnsi="Segoe UI" w:cs="Segoe UI"/>
      <w:sz w:val="18"/>
      <w:szCs w:val="18"/>
    </w:rPr>
  </w:style>
  <w:style w:type="character" w:styleId="CommentReference">
    <w:name w:val="annotation reference"/>
    <w:basedOn w:val="DefaultParagraphFont"/>
    <w:uiPriority w:val="99"/>
    <w:semiHidden/>
    <w:unhideWhenUsed/>
    <w:rsid w:val="00884517"/>
    <w:rPr>
      <w:sz w:val="16"/>
      <w:szCs w:val="16"/>
    </w:rPr>
  </w:style>
  <w:style w:type="paragraph" w:styleId="CommentText">
    <w:name w:val="annotation text"/>
    <w:basedOn w:val="Normal"/>
    <w:link w:val="CommentTextChar"/>
    <w:uiPriority w:val="99"/>
    <w:semiHidden/>
    <w:unhideWhenUsed/>
    <w:rsid w:val="00884517"/>
    <w:rPr>
      <w:sz w:val="20"/>
      <w:szCs w:val="20"/>
    </w:rPr>
  </w:style>
  <w:style w:type="character" w:customStyle="1" w:styleId="CommentTextChar">
    <w:name w:val="Comment Text Char"/>
    <w:basedOn w:val="DefaultParagraphFont"/>
    <w:link w:val="CommentText"/>
    <w:uiPriority w:val="99"/>
    <w:semiHidden/>
    <w:rsid w:val="0088451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84517"/>
    <w:rPr>
      <w:b/>
      <w:bCs/>
    </w:rPr>
  </w:style>
  <w:style w:type="character" w:customStyle="1" w:styleId="CommentSubjectChar">
    <w:name w:val="Comment Subject Char"/>
    <w:basedOn w:val="CommentTextChar"/>
    <w:link w:val="CommentSubject"/>
    <w:uiPriority w:val="99"/>
    <w:semiHidden/>
    <w:rsid w:val="0088451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1465">
      <w:bodyDiv w:val="1"/>
      <w:marLeft w:val="0"/>
      <w:marRight w:val="0"/>
      <w:marTop w:val="0"/>
      <w:marBottom w:val="0"/>
      <w:divBdr>
        <w:top w:val="none" w:sz="0" w:space="0" w:color="auto"/>
        <w:left w:val="none" w:sz="0" w:space="0" w:color="auto"/>
        <w:bottom w:val="none" w:sz="0" w:space="0" w:color="auto"/>
        <w:right w:val="none" w:sz="0" w:space="0" w:color="auto"/>
      </w:divBdr>
    </w:div>
    <w:div w:id="547110111">
      <w:bodyDiv w:val="1"/>
      <w:marLeft w:val="0"/>
      <w:marRight w:val="0"/>
      <w:marTop w:val="0"/>
      <w:marBottom w:val="0"/>
      <w:divBdr>
        <w:top w:val="none" w:sz="0" w:space="0" w:color="auto"/>
        <w:left w:val="none" w:sz="0" w:space="0" w:color="auto"/>
        <w:bottom w:val="none" w:sz="0" w:space="0" w:color="auto"/>
        <w:right w:val="none" w:sz="0" w:space="0" w:color="auto"/>
      </w:divBdr>
    </w:div>
    <w:div w:id="587081244">
      <w:bodyDiv w:val="1"/>
      <w:marLeft w:val="0"/>
      <w:marRight w:val="0"/>
      <w:marTop w:val="0"/>
      <w:marBottom w:val="0"/>
      <w:divBdr>
        <w:top w:val="none" w:sz="0" w:space="0" w:color="auto"/>
        <w:left w:val="none" w:sz="0" w:space="0" w:color="auto"/>
        <w:bottom w:val="none" w:sz="0" w:space="0" w:color="auto"/>
        <w:right w:val="none" w:sz="0" w:space="0" w:color="auto"/>
      </w:divBdr>
    </w:div>
    <w:div w:id="89840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birmingham.ac.uk/collaboration/equality/index.aspx" TargetMode="Externa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ac.uk/university/about/equality/index.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10" ma:contentTypeDescription="Create a new document." ma:contentTypeScope="" ma:versionID="14b72203fb418f8f23c0ccaba6d33e30">
  <xsd:schema xmlns:xsd="http://www.w3.org/2001/XMLSchema" xmlns:xs="http://www.w3.org/2001/XMLSchema" xmlns:p="http://schemas.microsoft.com/office/2006/metadata/properties" xmlns:ns3="45d9156e-7732-48b3-8390-6f27cfe81a57" targetNamespace="http://schemas.microsoft.com/office/2006/metadata/properties" ma:root="true" ma:fieldsID="957e4445bfc5c6b360049e1c726b176f"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7C53-E69E-4BFC-8BF6-CC77CA2747A8}">
  <ds:schemaRefs>
    <ds:schemaRef ds:uri="http://purl.org/dc/elements/1.1/"/>
    <ds:schemaRef ds:uri="http://schemas.microsoft.com/office/2006/metadata/properties"/>
    <ds:schemaRef ds:uri="http://purl.org/dc/terms/"/>
    <ds:schemaRef ds:uri="http://schemas.openxmlformats.org/package/2006/metadata/core-properties"/>
    <ds:schemaRef ds:uri="45d9156e-7732-48b3-8390-6f27cfe81a5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447920-484A-4E7C-9F04-2F6A861BB81E}">
  <ds:schemaRefs>
    <ds:schemaRef ds:uri="http://schemas.microsoft.com/sharepoint/v3/contenttype/forms"/>
  </ds:schemaRefs>
</ds:datastoreItem>
</file>

<file path=customXml/itemProps3.xml><?xml version="1.0" encoding="utf-8"?>
<ds:datastoreItem xmlns:ds="http://schemas.openxmlformats.org/officeDocument/2006/customXml" ds:itemID="{53C363BB-53E6-45C6-A1F9-66AE75007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343CD-8E5F-41FE-8B74-1D688C1C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Squire (HR Strategy and Projects)</cp:lastModifiedBy>
  <cp:revision>2</cp:revision>
  <cp:lastPrinted>2019-08-08T13:58:00Z</cp:lastPrinted>
  <dcterms:created xsi:type="dcterms:W3CDTF">2022-03-18T10:27:00Z</dcterms:created>
  <dcterms:modified xsi:type="dcterms:W3CDTF">2022-03-18T10:27:00Z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