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7" w:rsidRDefault="00577917" w:rsidP="003357C1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0" allowOverlap="1" wp14:anchorId="444692EB" wp14:editId="627F210E">
            <wp:simplePos x="0" y="0"/>
            <wp:positionH relativeFrom="page">
              <wp:posOffset>4993390</wp:posOffset>
            </wp:positionH>
            <wp:positionV relativeFrom="page">
              <wp:posOffset>876300</wp:posOffset>
            </wp:positionV>
            <wp:extent cx="1712235" cy="400050"/>
            <wp:effectExtent l="0" t="0" r="2540" b="0"/>
            <wp:wrapNone/>
            <wp:docPr id="1" name="Picture 1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40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C4">
        <w:rPr>
          <w:b/>
          <w:sz w:val="24"/>
          <w:szCs w:val="24"/>
        </w:rPr>
        <w:t>Procedure;</w:t>
      </w:r>
      <w:r w:rsidRPr="00AF4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PROC</w:t>
      </w:r>
      <w:r w:rsidRPr="00AF49C4">
        <w:rPr>
          <w:b/>
          <w:sz w:val="24"/>
          <w:szCs w:val="24"/>
        </w:rPr>
        <w:t>-00</w:t>
      </w:r>
      <w:r>
        <w:rPr>
          <w:b/>
          <w:sz w:val="24"/>
          <w:szCs w:val="24"/>
        </w:rPr>
        <w:t>2</w:t>
      </w:r>
    </w:p>
    <w:p w:rsidR="00577917" w:rsidRDefault="00577917" w:rsidP="00577917">
      <w:pPr>
        <w:tabs>
          <w:tab w:val="left" w:pos="1325"/>
        </w:tabs>
        <w:spacing w:after="0" w:line="240" w:lineRule="auto"/>
        <w:ind w:left="-93" w:firstLine="93"/>
        <w:rPr>
          <w:b/>
          <w:sz w:val="24"/>
          <w:szCs w:val="24"/>
        </w:rPr>
      </w:pPr>
    </w:p>
    <w:p w:rsidR="00577917" w:rsidRDefault="00577917" w:rsidP="00577917">
      <w:pPr>
        <w:tabs>
          <w:tab w:val="left" w:pos="1325"/>
        </w:tabs>
        <w:spacing w:after="0" w:line="240" w:lineRule="auto"/>
        <w:ind w:left="-93" w:firstLine="93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GB"/>
        </w:rPr>
      </w:pPr>
      <w:r w:rsidRPr="00AF49C4">
        <w:rPr>
          <w:b/>
          <w:sz w:val="24"/>
          <w:szCs w:val="24"/>
        </w:rPr>
        <w:t>Activity;</w:t>
      </w:r>
      <w:r w:rsidRPr="00AF4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3357C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Challenge Checklist (Prior to Procurement</w:t>
      </w:r>
      <w:r w:rsidRPr="00577917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)</w:t>
      </w:r>
    </w:p>
    <w:p w:rsidR="00577917" w:rsidRDefault="00577917" w:rsidP="003357C1">
      <w:pPr>
        <w:spacing w:after="0" w:line="240" w:lineRule="auto"/>
        <w:rPr>
          <w:b/>
          <w:sz w:val="24"/>
          <w:szCs w:val="24"/>
        </w:rPr>
      </w:pPr>
    </w:p>
    <w:p w:rsidR="00577917" w:rsidRPr="00AF49C4" w:rsidRDefault="00577917" w:rsidP="00577917">
      <w:pPr>
        <w:spacing w:after="0" w:line="240" w:lineRule="auto"/>
        <w:rPr>
          <w:b/>
          <w:sz w:val="24"/>
          <w:szCs w:val="24"/>
        </w:rPr>
      </w:pPr>
      <w:r w:rsidRPr="00AF49C4">
        <w:rPr>
          <w:b/>
          <w:sz w:val="24"/>
          <w:szCs w:val="24"/>
        </w:rPr>
        <w:t>Requirement;</w:t>
      </w:r>
    </w:p>
    <w:p w:rsidR="00577917" w:rsidRDefault="00577917" w:rsidP="00577917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 w:rsidRPr="003357C1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This checklist is to drive savings and improvements for the University for each </w:t>
      </w:r>
      <w:proofErr w:type="gramStart"/>
      <w:r w:rsidRPr="003357C1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procurement</w:t>
      </w:r>
      <w:proofErr w:type="gramEnd"/>
      <w:r w:rsidRPr="003357C1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at an cost level</w:t>
      </w:r>
    </w:p>
    <w:p w:rsidR="00577917" w:rsidRPr="003357C1" w:rsidRDefault="00577917" w:rsidP="00577917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7796"/>
        <w:gridCol w:w="1134"/>
      </w:tblGrid>
      <w:tr w:rsidR="00C811D4" w:rsidRPr="00C811D4" w:rsidTr="00577917">
        <w:trPr>
          <w:trHeight w:val="11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C811D4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C811D4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C811D4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811D4" w:rsidRPr="00C811D4" w:rsidTr="00577917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Cashable Savings</w:t>
            </w:r>
          </w:p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Tick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Do you need to procure this, or can the requirement be covered in another way, or do we really need the requirement at all?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What is the maximum time you need the requirement for? Can this be as short as possible?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many suppliers can we engage in the process? What is the right number to secure effective competition?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Can we coordinate this requirement with other requirements across the University, to make the contract larger and more valuable?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 we obtain this requirement via an existing consortia arrangement and obtain the benefits of aggregation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2808B3" w:rsidTr="00577917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1D4" w:rsidRPr="002808B3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811D4" w:rsidRPr="00C811D4" w:rsidTr="00577917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Additional Savings and Benefits</w:t>
            </w:r>
          </w:p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Tick</w:t>
            </w:r>
          </w:p>
        </w:tc>
      </w:tr>
      <w:tr w:rsidR="0012502D" w:rsidRPr="00C811D4" w:rsidTr="0057791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02D" w:rsidRPr="00577917" w:rsidRDefault="0012502D" w:rsidP="0012502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77917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02D" w:rsidRPr="00577917" w:rsidRDefault="0012502D" w:rsidP="001250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577917">
              <w:rPr>
                <w:rFonts w:ascii="Calibri" w:eastAsia="Times New Roman" w:hAnsi="Calibri" w:cs="Times New Roman"/>
                <w:lang w:eastAsia="en-GB"/>
              </w:rPr>
              <w:t>Have we undertaken a Sustainability Impact Analysis on the proposed purchase / Projects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2D" w:rsidRPr="001F1481" w:rsidRDefault="0012502D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 we build in additional value for </w:t>
            </w:r>
            <w:r w:rsidR="009D48E5"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guarantees</w:t>
            </w: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warranties etc. that we can obtain as part of the pricing?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What is the "work to materials" ratio i.e. does this create employment or research opportunities for students, engagement with SME's or added Social Value and employment opportunities for young people</w:t>
            </w:r>
            <w:r w:rsidR="001F1481"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long term unemployed?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Can we obtain sponsorship opportunities from the selected supplier as additional value?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  <w:p w:rsidR="00C811D4" w:rsidRPr="002808B3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Default="00C811D4" w:rsidP="001F1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 we reduce Co2 </w:t>
            </w:r>
            <w:r w:rsidR="009D48E5"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emissions</w:t>
            </w: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via few deliveries, lower energy consumption etc.</w:t>
            </w:r>
          </w:p>
          <w:p w:rsidR="0063418E" w:rsidRPr="002808B3" w:rsidRDefault="0063418E" w:rsidP="001F1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  <w:p w:rsidR="00C811D4" w:rsidRPr="002808B3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 we explore reductions in packaging or waste </w:t>
            </w:r>
            <w:proofErr w:type="gramStart"/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etc.</w:t>
            </w:r>
            <w:proofErr w:type="gramEnd"/>
          </w:p>
          <w:p w:rsidR="001F1481" w:rsidRPr="002808B3" w:rsidRDefault="001F1481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C811D4" w:rsidTr="00577917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12502D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  <w:p w:rsidR="00C811D4" w:rsidRPr="002808B3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Can we reduce costs further by using lower cost materials or processes?</w:t>
            </w:r>
          </w:p>
          <w:p w:rsidR="001F1481" w:rsidRPr="002808B3" w:rsidRDefault="001F1481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08B3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B3" w:rsidRPr="001F1481" w:rsidRDefault="002808B3" w:rsidP="00D429D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1F1481">
              <w:rPr>
                <w:rFonts w:eastAsia="Times New Roman" w:cs="Times New Roman"/>
                <w:lang w:eastAsia="en-GB"/>
              </w:rPr>
              <w:t>1</w:t>
            </w:r>
            <w:r w:rsidR="0012502D">
              <w:rPr>
                <w:rFonts w:eastAsia="Times New Roman" w:cs="Times New Roman"/>
                <w:lang w:eastAsia="en-GB"/>
              </w:rPr>
              <w:t>3</w:t>
            </w:r>
          </w:p>
          <w:p w:rsidR="002808B3" w:rsidRPr="001F1481" w:rsidRDefault="002808B3" w:rsidP="00D429D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B3" w:rsidRPr="001F1481" w:rsidRDefault="002808B3" w:rsidP="002808B3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we apply Value Engineering (before item made) or Value Analysis (existing products) to reduce material, process or waste costs?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B3" w:rsidRPr="001F1481" w:rsidRDefault="002808B3" w:rsidP="00D4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11D4" w:rsidRPr="002808B3" w:rsidTr="0057791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C1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357C1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357C1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357C1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577917" w:rsidRDefault="00577917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357C1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357C1" w:rsidRPr="002808B3" w:rsidRDefault="003357C1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1D4" w:rsidRPr="002808B3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811D4" w:rsidRPr="00C811D4" w:rsidTr="00577917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Item</w:t>
            </w: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Security requirements</w:t>
            </w:r>
          </w:p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Tick</w:t>
            </w:r>
          </w:p>
        </w:tc>
      </w:tr>
      <w:tr w:rsidR="00C811D4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1F1481">
              <w:rPr>
                <w:rFonts w:eastAsia="Times New Roman" w:cs="Times New Roman"/>
                <w:lang w:eastAsia="en-GB"/>
              </w:rPr>
              <w:t>1</w:t>
            </w:r>
            <w:r w:rsidR="0012502D">
              <w:rPr>
                <w:rFonts w:eastAsia="Times New Roman" w:cs="Times New Roman"/>
                <w:lang w:eastAsia="en-GB"/>
              </w:rPr>
              <w:t>4</w:t>
            </w:r>
          </w:p>
          <w:p w:rsidR="001F1481" w:rsidRDefault="001F1481" w:rsidP="00C811D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  <w:p w:rsidR="00F31FF5" w:rsidRPr="002808B3" w:rsidRDefault="00F31FF5" w:rsidP="00C811D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:rsidR="00F31FF5" w:rsidRPr="001F1481" w:rsidRDefault="00F31FF5" w:rsidP="00C811D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  <w:p w:rsidR="001F1481" w:rsidRPr="001F1481" w:rsidRDefault="001F1481" w:rsidP="00C811D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  <w:p w:rsidR="00C811D4" w:rsidRPr="001F1481" w:rsidRDefault="00C811D4" w:rsidP="00C811D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F5" w:rsidRDefault="000101F9" w:rsidP="000101F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eastAsia="Times New Roman" w:cs="Times New Roman"/>
                <w:lang w:eastAsia="en-GB"/>
              </w:rPr>
              <w:t xml:space="preserve">Will this contract involve taking income? If YES, this may create a </w:t>
            </w:r>
            <w:r w:rsidR="001F1481" w:rsidRPr="001F1481">
              <w:rPr>
                <w:rFonts w:eastAsia="Times New Roman" w:cs="Times New Roman"/>
                <w:lang w:eastAsia="en-GB"/>
              </w:rPr>
              <w:t xml:space="preserve">Payment Card Industry Data Security Standards requirement (PCI DSS). </w:t>
            </w:r>
            <w:r>
              <w:rPr>
                <w:rFonts w:eastAsia="Times New Roman" w:cs="Times New Roman"/>
                <w:lang w:eastAsia="en-GB"/>
              </w:rPr>
              <w:t xml:space="preserve">Please contact </w:t>
            </w:r>
            <w:hyperlink r:id="rId8" w:history="1">
              <w:r w:rsidRPr="00E64E6A">
                <w:rPr>
                  <w:rStyle w:val="Hyperlink"/>
                  <w:rFonts w:eastAsia="Times New Roman" w:cs="Times New Roman"/>
                  <w:lang w:eastAsia="en-GB"/>
                </w:rPr>
                <w:t>pcidss@contacts.bham.ac.uk</w:t>
              </w:r>
            </w:hyperlink>
            <w:r w:rsidR="002808B3">
              <w:rPr>
                <w:rStyle w:val="Hyperlink"/>
                <w:rFonts w:eastAsia="Times New Roman" w:cs="Times New Roman"/>
                <w:lang w:eastAsia="en-GB"/>
              </w:rPr>
              <w:t xml:space="preserve"> </w:t>
            </w:r>
            <w:r w:rsidR="00F31FF5">
              <w:rPr>
                <w:rFonts w:eastAsia="Times New Roman"/>
              </w:rPr>
              <w:t>Also consider any data protection and Intellectual Property Rights (IPR), these will generally be issues for any IT based requirements (hardware or software) </w:t>
            </w:r>
          </w:p>
          <w:p w:rsidR="00F31FF5" w:rsidRPr="002808B3" w:rsidRDefault="00F31FF5" w:rsidP="000101F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D4" w:rsidRPr="002808B3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3418E" w:rsidRPr="00C811D4" w:rsidTr="0057791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8E" w:rsidRPr="001F1481" w:rsidRDefault="0063418E" w:rsidP="00BB3C2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1F1481">
              <w:rPr>
                <w:rFonts w:eastAsia="Times New Roman" w:cs="Times New Roman"/>
                <w:lang w:eastAsia="en-GB"/>
              </w:rPr>
              <w:t>1</w:t>
            </w:r>
            <w:r w:rsidR="0012502D">
              <w:rPr>
                <w:rFonts w:eastAsia="Times New Roman" w:cs="Times New Roman"/>
                <w:lang w:eastAsia="en-GB"/>
              </w:rPr>
              <w:t>5</w:t>
            </w:r>
          </w:p>
          <w:p w:rsidR="0063418E" w:rsidRPr="002808B3" w:rsidRDefault="0063418E" w:rsidP="00BB3C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E" w:rsidRPr="001F1481" w:rsidRDefault="0063418E" w:rsidP="0063418E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we reverse auction the requirement?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8E" w:rsidRPr="002808B3" w:rsidRDefault="0063418E" w:rsidP="00BB3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F14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040F" w:rsidRPr="00F5040F" w:rsidTr="0057791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0F" w:rsidRDefault="0012502D" w:rsidP="00D3742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77917">
              <w:rPr>
                <w:rFonts w:eastAsia="Times New Roman" w:cs="Times New Roman"/>
                <w:lang w:eastAsia="en-GB"/>
              </w:rPr>
              <w:t>16</w:t>
            </w:r>
          </w:p>
          <w:p w:rsidR="00577917" w:rsidRDefault="00577917" w:rsidP="00D3742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  <w:p w:rsidR="00577917" w:rsidRPr="00577917" w:rsidRDefault="00577917" w:rsidP="00D3742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  <w:p w:rsidR="00F5040F" w:rsidRPr="00577917" w:rsidRDefault="00F5040F" w:rsidP="00D374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0F" w:rsidRDefault="00F5040F" w:rsidP="00F5040F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  <w:r w:rsidRPr="00577917">
              <w:rPr>
                <w:rFonts w:eastAsia="Times New Roman" w:cs="Times New Roman"/>
                <w:lang w:eastAsia="en-GB"/>
              </w:rPr>
              <w:t>Might this requirement need to be considered for use by staff or students with disabilities? Should reasonable adjustments or alternative additional options be considered?</w:t>
            </w:r>
          </w:p>
          <w:p w:rsidR="00577917" w:rsidRPr="00577917" w:rsidRDefault="00577917" w:rsidP="00F5040F">
            <w:pPr>
              <w:spacing w:after="0" w:line="240" w:lineRule="auto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0F" w:rsidRPr="00F5040F" w:rsidRDefault="00F5040F" w:rsidP="00D374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F5040F">
              <w:rPr>
                <w:rFonts w:ascii="Calibri" w:eastAsia="Times New Roman" w:hAnsi="Calibri" w:cs="Times New Roman"/>
                <w:color w:val="FF0000"/>
                <w:lang w:eastAsia="en-GB"/>
              </w:rPr>
              <w:t> </w:t>
            </w:r>
          </w:p>
        </w:tc>
      </w:tr>
      <w:tr w:rsidR="00C811D4" w:rsidRPr="001F1481" w:rsidTr="0057791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BA6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D4" w:rsidRPr="001F1481" w:rsidRDefault="00C811D4" w:rsidP="00C81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2B0CED" w:rsidRDefault="002B0CED"/>
    <w:sectPr w:rsidR="002B0CED" w:rsidSect="00C811D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3E" w:rsidRDefault="00C45B3E" w:rsidP="003357C1">
      <w:pPr>
        <w:spacing w:after="0" w:line="240" w:lineRule="auto"/>
      </w:pPr>
      <w:r>
        <w:separator/>
      </w:r>
    </w:p>
  </w:endnote>
  <w:endnote w:type="continuationSeparator" w:id="0">
    <w:p w:rsidR="00C45B3E" w:rsidRDefault="00C45B3E" w:rsidP="003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7" w:rsidRPr="00577917" w:rsidRDefault="00577917">
    <w:pPr>
      <w:pStyle w:val="Footer"/>
      <w:rPr>
        <w:i/>
        <w:sz w:val="18"/>
        <w:szCs w:val="18"/>
      </w:rPr>
    </w:pPr>
    <w:r w:rsidRPr="00577917">
      <w:rPr>
        <w:i/>
        <w:sz w:val="18"/>
        <w:szCs w:val="18"/>
      </w:rPr>
      <w:t xml:space="preserve">Revised:  August 2016 </w:t>
    </w:r>
  </w:p>
  <w:p w:rsidR="003357C1" w:rsidRDefault="00335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3E" w:rsidRDefault="00C45B3E" w:rsidP="003357C1">
      <w:pPr>
        <w:spacing w:after="0" w:line="240" w:lineRule="auto"/>
      </w:pPr>
      <w:r>
        <w:separator/>
      </w:r>
    </w:p>
  </w:footnote>
  <w:footnote w:type="continuationSeparator" w:id="0">
    <w:p w:rsidR="00C45B3E" w:rsidRDefault="00C45B3E" w:rsidP="00335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D4"/>
    <w:rsid w:val="000101F9"/>
    <w:rsid w:val="000266B9"/>
    <w:rsid w:val="0012502D"/>
    <w:rsid w:val="001F1481"/>
    <w:rsid w:val="002808B3"/>
    <w:rsid w:val="002B0CED"/>
    <w:rsid w:val="002B3E83"/>
    <w:rsid w:val="003357C1"/>
    <w:rsid w:val="0043449C"/>
    <w:rsid w:val="00577917"/>
    <w:rsid w:val="00631C61"/>
    <w:rsid w:val="0063418E"/>
    <w:rsid w:val="00666CD1"/>
    <w:rsid w:val="006E6EA1"/>
    <w:rsid w:val="009D48E5"/>
    <w:rsid w:val="00A45C8E"/>
    <w:rsid w:val="00BA6E21"/>
    <w:rsid w:val="00C27BA4"/>
    <w:rsid w:val="00C45B3E"/>
    <w:rsid w:val="00C811D4"/>
    <w:rsid w:val="00F31FF5"/>
    <w:rsid w:val="00F46580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C1"/>
  </w:style>
  <w:style w:type="paragraph" w:styleId="BalloonText">
    <w:name w:val="Balloon Text"/>
    <w:basedOn w:val="Normal"/>
    <w:link w:val="BalloonTextChar"/>
    <w:uiPriority w:val="99"/>
    <w:semiHidden/>
    <w:unhideWhenUsed/>
    <w:rsid w:val="0033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C1"/>
  </w:style>
  <w:style w:type="paragraph" w:styleId="BalloonText">
    <w:name w:val="Balloon Text"/>
    <w:basedOn w:val="Normal"/>
    <w:link w:val="BalloonTextChar"/>
    <w:uiPriority w:val="99"/>
    <w:semiHidden/>
    <w:unhideWhenUsed/>
    <w:rsid w:val="0033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dss@contacts.b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Jones</dc:creator>
  <cp:lastModifiedBy>Jonathan Jones</cp:lastModifiedBy>
  <cp:revision>4</cp:revision>
  <dcterms:created xsi:type="dcterms:W3CDTF">2016-07-26T15:25:00Z</dcterms:created>
  <dcterms:modified xsi:type="dcterms:W3CDTF">2016-08-01T14:34:00Z</dcterms:modified>
</cp:coreProperties>
</file>