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43" w:rsidRPr="00271868" w:rsidRDefault="00271868" w:rsidP="004455F6">
      <w:pPr>
        <w:jc w:val="both"/>
        <w:rPr>
          <w:b/>
          <w:u w:val="single"/>
        </w:rPr>
      </w:pPr>
      <w:bookmarkStart w:id="0" w:name="_GoBack"/>
      <w:bookmarkEnd w:id="0"/>
      <w:r w:rsidRPr="00271868">
        <w:rPr>
          <w:b/>
          <w:u w:val="single"/>
        </w:rPr>
        <w:t>Dubai Procurement Procedures</w:t>
      </w:r>
    </w:p>
    <w:p w:rsidR="005137AF" w:rsidRDefault="005137AF" w:rsidP="004455F6">
      <w:pPr>
        <w:jc w:val="both"/>
        <w:rPr>
          <w:b/>
        </w:rPr>
      </w:pPr>
      <w:r w:rsidRPr="005137AF">
        <w:rPr>
          <w:b/>
        </w:rPr>
        <w:t xml:space="preserve">These notes assume that you have identified the need, </w:t>
      </w:r>
      <w:r w:rsidR="006261EF" w:rsidRPr="005137AF">
        <w:rPr>
          <w:b/>
        </w:rPr>
        <w:t>finalised</w:t>
      </w:r>
      <w:r w:rsidRPr="005137AF">
        <w:rPr>
          <w:b/>
        </w:rPr>
        <w:t xml:space="preserve"> the specification, have sufficient funding available, and have </w:t>
      </w:r>
      <w:r w:rsidR="006261EF" w:rsidRPr="005137AF">
        <w:rPr>
          <w:b/>
        </w:rPr>
        <w:t>authorisation</w:t>
      </w:r>
      <w:r w:rsidRPr="005137AF">
        <w:rPr>
          <w:b/>
        </w:rPr>
        <w:t xml:space="preserve"> to commit the expenditure.</w:t>
      </w:r>
    </w:p>
    <w:p w:rsidR="004271FB" w:rsidRPr="00271868" w:rsidRDefault="004271FB" w:rsidP="004455F6">
      <w:pPr>
        <w:jc w:val="both"/>
        <w:rPr>
          <w:b/>
          <w:i/>
        </w:rPr>
      </w:pPr>
      <w:r w:rsidRPr="00271868">
        <w:rPr>
          <w:b/>
          <w:i/>
        </w:rPr>
        <w:t>Competitive Thresholds:</w:t>
      </w:r>
    </w:p>
    <w:p w:rsidR="005137AF" w:rsidRPr="005137AF" w:rsidRDefault="005137AF" w:rsidP="004455F6">
      <w:pPr>
        <w:ind w:right="117"/>
        <w:jc w:val="both"/>
      </w:pPr>
      <w:r w:rsidRPr="005137AF">
        <w:t>Most purchases will either be:</w:t>
      </w:r>
    </w:p>
    <w:p w:rsidR="005137AF" w:rsidRDefault="005137AF" w:rsidP="004455F6">
      <w:pPr>
        <w:pStyle w:val="ListParagraph"/>
        <w:numPr>
          <w:ilvl w:val="0"/>
          <w:numId w:val="12"/>
        </w:numPr>
        <w:ind w:right="117"/>
        <w:jc w:val="both"/>
      </w:pPr>
      <w:r w:rsidRPr="00C04465">
        <w:rPr>
          <w:b/>
        </w:rPr>
        <w:t>Call off contract from an approved framework supplier</w:t>
      </w:r>
      <w:r w:rsidRPr="005137AF">
        <w:t>.</w:t>
      </w:r>
    </w:p>
    <w:p w:rsidR="005137AF" w:rsidRDefault="005137AF" w:rsidP="004455F6">
      <w:pPr>
        <w:pStyle w:val="BodyText"/>
        <w:numPr>
          <w:ilvl w:val="1"/>
          <w:numId w:val="12"/>
        </w:numPr>
        <w:ind w:right="117"/>
        <w:jc w:val="both"/>
      </w:pPr>
      <w:r>
        <w:t>Where</w:t>
      </w:r>
      <w:r>
        <w:rPr>
          <w:spacing w:val="-4"/>
        </w:rPr>
        <w:t xml:space="preserve"> </w:t>
      </w:r>
      <w:r>
        <w:t>t</w:t>
      </w:r>
      <w:r>
        <w:rPr>
          <w:spacing w:val="-2"/>
        </w:rPr>
        <w:t>h</w:t>
      </w:r>
      <w:r>
        <w:t>ere</w:t>
      </w:r>
      <w:r>
        <w:rPr>
          <w:spacing w:val="-4"/>
        </w:rPr>
        <w:t xml:space="preserve"> </w:t>
      </w:r>
      <w:r>
        <w:t>is</w:t>
      </w:r>
      <w:r>
        <w:rPr>
          <w:spacing w:val="-3"/>
        </w:rPr>
        <w:t xml:space="preserve"> </w:t>
      </w:r>
      <w:r>
        <w:t>o</w:t>
      </w:r>
      <w:r>
        <w:rPr>
          <w:spacing w:val="-2"/>
        </w:rPr>
        <w:t>n</w:t>
      </w:r>
      <w:r>
        <w:t>ly</w:t>
      </w:r>
      <w:r>
        <w:rPr>
          <w:spacing w:val="-2"/>
        </w:rPr>
        <w:t xml:space="preserve"> </w:t>
      </w:r>
      <w:r>
        <w:t>o</w:t>
      </w:r>
      <w:r>
        <w:rPr>
          <w:spacing w:val="-2"/>
        </w:rPr>
        <w:t>n</w:t>
      </w:r>
      <w:r>
        <w:t>e</w:t>
      </w:r>
      <w:r>
        <w:rPr>
          <w:spacing w:val="-4"/>
        </w:rPr>
        <w:t xml:space="preserve"> </w:t>
      </w:r>
      <w:r>
        <w:t>A</w:t>
      </w:r>
      <w:r>
        <w:rPr>
          <w:spacing w:val="1"/>
        </w:rPr>
        <w:t>p</w:t>
      </w:r>
      <w:r>
        <w:t>pro</w:t>
      </w:r>
      <w:r>
        <w:rPr>
          <w:spacing w:val="-3"/>
        </w:rPr>
        <w:t>v</w:t>
      </w:r>
      <w:r>
        <w:t>ed</w:t>
      </w:r>
      <w:r>
        <w:rPr>
          <w:spacing w:val="-1"/>
        </w:rPr>
        <w:t xml:space="preserve"> </w:t>
      </w:r>
      <w:r>
        <w:rPr>
          <w:spacing w:val="-3"/>
        </w:rPr>
        <w:t>S</w:t>
      </w:r>
      <w:r>
        <w:t>u</w:t>
      </w:r>
      <w:r>
        <w:rPr>
          <w:spacing w:val="-2"/>
        </w:rPr>
        <w:t>p</w:t>
      </w:r>
      <w:r>
        <w:t>plier</w:t>
      </w:r>
      <w:r>
        <w:rPr>
          <w:spacing w:val="-4"/>
        </w:rPr>
        <w:t xml:space="preserve"> </w:t>
      </w:r>
      <w:r>
        <w:t>avail</w:t>
      </w:r>
      <w:r>
        <w:rPr>
          <w:spacing w:val="-2"/>
        </w:rPr>
        <w:t>a</w:t>
      </w:r>
      <w:r>
        <w:t>ble</w:t>
      </w:r>
      <w:r>
        <w:rPr>
          <w:spacing w:val="-1"/>
        </w:rPr>
        <w:t xml:space="preserve"> </w:t>
      </w:r>
      <w:r>
        <w:rPr>
          <w:spacing w:val="-2"/>
        </w:rPr>
        <w:t>o</w:t>
      </w:r>
      <w:r>
        <w:t>n</w:t>
      </w:r>
      <w:r>
        <w:rPr>
          <w:spacing w:val="-4"/>
        </w:rPr>
        <w:t xml:space="preserve"> </w:t>
      </w:r>
      <w:r>
        <w:t>the</w:t>
      </w:r>
      <w:r>
        <w:rPr>
          <w:spacing w:val="-5"/>
        </w:rPr>
        <w:t xml:space="preserve"> </w:t>
      </w:r>
      <w:r>
        <w:t>Fr</w:t>
      </w:r>
      <w:r>
        <w:rPr>
          <w:spacing w:val="7"/>
        </w:rPr>
        <w:t>a</w:t>
      </w:r>
      <w:r>
        <w:t>mework</w:t>
      </w:r>
      <w:r>
        <w:rPr>
          <w:spacing w:val="-2"/>
        </w:rPr>
        <w:t xml:space="preserve"> </w:t>
      </w:r>
      <w:r>
        <w:rPr>
          <w:spacing w:val="-3"/>
        </w:rPr>
        <w:t>A</w:t>
      </w:r>
      <w:r>
        <w:t>gre</w:t>
      </w:r>
      <w:r>
        <w:rPr>
          <w:spacing w:val="1"/>
        </w:rPr>
        <w:t>e</w:t>
      </w:r>
      <w:r>
        <w:t>ment</w:t>
      </w:r>
      <w:r>
        <w:rPr>
          <w:spacing w:val="-4"/>
        </w:rPr>
        <w:t xml:space="preserve"> </w:t>
      </w:r>
      <w:r>
        <w:t>for</w:t>
      </w:r>
      <w:r>
        <w:rPr>
          <w:spacing w:val="-5"/>
        </w:rPr>
        <w:t xml:space="preserve"> </w:t>
      </w:r>
      <w:r>
        <w:t>t</w:t>
      </w:r>
      <w:r>
        <w:rPr>
          <w:spacing w:val="-2"/>
        </w:rPr>
        <w:t>h</w:t>
      </w:r>
      <w:r>
        <w:t>e</w:t>
      </w:r>
      <w:r>
        <w:rPr>
          <w:spacing w:val="-4"/>
        </w:rPr>
        <w:t xml:space="preserve"> </w:t>
      </w:r>
      <w:r>
        <w:t>pro</w:t>
      </w:r>
      <w:r>
        <w:rPr>
          <w:spacing w:val="-2"/>
        </w:rPr>
        <w:t>d</w:t>
      </w:r>
      <w:r>
        <w:t>u</w:t>
      </w:r>
      <w:r>
        <w:rPr>
          <w:spacing w:val="-5"/>
        </w:rPr>
        <w:t>c</w:t>
      </w:r>
      <w:r>
        <w:t>ts</w:t>
      </w:r>
      <w:r>
        <w:rPr>
          <w:spacing w:val="-2"/>
        </w:rPr>
        <w:t xml:space="preserve"> </w:t>
      </w:r>
      <w:r>
        <w:t>a</w:t>
      </w:r>
      <w:r>
        <w:rPr>
          <w:spacing w:val="-2"/>
        </w:rPr>
        <w:t>n</w:t>
      </w:r>
      <w:r>
        <w:t>d servi</w:t>
      </w:r>
      <w:r>
        <w:rPr>
          <w:spacing w:val="-1"/>
        </w:rPr>
        <w:t>c</w:t>
      </w:r>
      <w:r>
        <w:t>es</w:t>
      </w:r>
      <w:r>
        <w:rPr>
          <w:spacing w:val="-3"/>
        </w:rPr>
        <w:t xml:space="preserve"> </w:t>
      </w:r>
      <w:r>
        <w:rPr>
          <w:spacing w:val="-1"/>
        </w:rPr>
        <w:t>c</w:t>
      </w:r>
      <w:r>
        <w:t>on</w:t>
      </w:r>
      <w:r>
        <w:rPr>
          <w:spacing w:val="-1"/>
        </w:rPr>
        <w:t>c</w:t>
      </w:r>
      <w:r>
        <w:t>erned</w:t>
      </w:r>
      <w:r>
        <w:rPr>
          <w:spacing w:val="-4"/>
        </w:rPr>
        <w:t xml:space="preserve"> </w:t>
      </w:r>
      <w:r>
        <w:t>no</w:t>
      </w:r>
      <w:r>
        <w:rPr>
          <w:spacing w:val="-5"/>
        </w:rPr>
        <w:t xml:space="preserve"> </w:t>
      </w:r>
      <w:r>
        <w:t>f</w:t>
      </w:r>
      <w:r>
        <w:rPr>
          <w:spacing w:val="-2"/>
        </w:rPr>
        <w:t>u</w:t>
      </w:r>
      <w:r>
        <w:t>r</w:t>
      </w:r>
      <w:r>
        <w:rPr>
          <w:spacing w:val="1"/>
        </w:rPr>
        <w:t>t</w:t>
      </w:r>
      <w:r>
        <w:t>her</w:t>
      </w:r>
      <w:r>
        <w:rPr>
          <w:spacing w:val="-4"/>
        </w:rPr>
        <w:t xml:space="preserve"> </w:t>
      </w:r>
      <w:r>
        <w:rPr>
          <w:spacing w:val="-1"/>
        </w:rPr>
        <w:t>c</w:t>
      </w:r>
      <w:r>
        <w:t>om</w:t>
      </w:r>
      <w:r>
        <w:rPr>
          <w:spacing w:val="-1"/>
        </w:rPr>
        <w:t>p</w:t>
      </w:r>
      <w:r>
        <w:t>e</w:t>
      </w:r>
      <w:r>
        <w:rPr>
          <w:spacing w:val="1"/>
        </w:rPr>
        <w:t>t</w:t>
      </w:r>
      <w:r>
        <w:rPr>
          <w:spacing w:val="-3"/>
        </w:rPr>
        <w:t>i</w:t>
      </w:r>
      <w:r>
        <w:t>tion</w:t>
      </w:r>
      <w:r>
        <w:rPr>
          <w:spacing w:val="-5"/>
        </w:rPr>
        <w:t xml:space="preserve"> </w:t>
      </w:r>
      <w:r>
        <w:t>is</w:t>
      </w:r>
      <w:r>
        <w:rPr>
          <w:spacing w:val="-2"/>
        </w:rPr>
        <w:t xml:space="preserve"> </w:t>
      </w:r>
      <w:r>
        <w:rPr>
          <w:spacing w:val="-3"/>
        </w:rPr>
        <w:t>r</w:t>
      </w:r>
      <w:r>
        <w:t>e</w:t>
      </w:r>
      <w:r>
        <w:rPr>
          <w:spacing w:val="1"/>
        </w:rPr>
        <w:t>q</w:t>
      </w:r>
      <w:r>
        <w:rPr>
          <w:spacing w:val="-2"/>
        </w:rPr>
        <w:t>u</w:t>
      </w:r>
      <w:r>
        <w:t>ired</w:t>
      </w:r>
      <w:r>
        <w:rPr>
          <w:spacing w:val="-1"/>
        </w:rPr>
        <w:t xml:space="preserve"> </w:t>
      </w:r>
      <w:r>
        <w:rPr>
          <w:spacing w:val="-3"/>
        </w:rPr>
        <w:t>a</w:t>
      </w:r>
      <w:r>
        <w:t>nd</w:t>
      </w:r>
      <w:r>
        <w:rPr>
          <w:spacing w:val="-4"/>
        </w:rPr>
        <w:t xml:space="preserve"> </w:t>
      </w:r>
      <w:r>
        <w:t>a</w:t>
      </w:r>
      <w:r>
        <w:rPr>
          <w:spacing w:val="-4"/>
        </w:rPr>
        <w:t xml:space="preserve"> </w:t>
      </w:r>
      <w:r>
        <w:rPr>
          <w:spacing w:val="-2"/>
        </w:rPr>
        <w:t>P</w:t>
      </w:r>
      <w:r>
        <w:t>urchase</w:t>
      </w:r>
      <w:r>
        <w:rPr>
          <w:spacing w:val="-5"/>
        </w:rPr>
        <w:t xml:space="preserve"> </w:t>
      </w:r>
      <w:r>
        <w:t>Or</w:t>
      </w:r>
      <w:r>
        <w:rPr>
          <w:spacing w:val="-2"/>
        </w:rPr>
        <w:t>d</w:t>
      </w:r>
      <w:r>
        <w:t>er</w:t>
      </w:r>
      <w:r>
        <w:rPr>
          <w:spacing w:val="-2"/>
        </w:rPr>
        <w:t xml:space="preserve"> </w:t>
      </w:r>
      <w:r>
        <w:rPr>
          <w:spacing w:val="-1"/>
        </w:rPr>
        <w:t>c</w:t>
      </w:r>
      <w:r>
        <w:t>an</w:t>
      </w:r>
      <w:r>
        <w:rPr>
          <w:spacing w:val="-4"/>
        </w:rPr>
        <w:t xml:space="preserve"> </w:t>
      </w:r>
      <w:r>
        <w:t>be</w:t>
      </w:r>
      <w:r>
        <w:rPr>
          <w:spacing w:val="-6"/>
        </w:rPr>
        <w:t xml:space="preserve"> </w:t>
      </w:r>
      <w:r>
        <w:t>plac</w:t>
      </w:r>
      <w:r>
        <w:rPr>
          <w:spacing w:val="-3"/>
        </w:rPr>
        <w:t>e</w:t>
      </w:r>
      <w:r>
        <w:t>d.</w:t>
      </w:r>
    </w:p>
    <w:p w:rsidR="005137AF" w:rsidRDefault="005137AF" w:rsidP="004455F6">
      <w:pPr>
        <w:pStyle w:val="BodyText"/>
        <w:numPr>
          <w:ilvl w:val="1"/>
          <w:numId w:val="12"/>
        </w:numPr>
        <w:ind w:right="117"/>
        <w:jc w:val="both"/>
      </w:pPr>
      <w:r>
        <w:t>Where</w:t>
      </w:r>
      <w:r>
        <w:rPr>
          <w:spacing w:val="-4"/>
        </w:rPr>
        <w:t xml:space="preserve"> </w:t>
      </w:r>
      <w:r>
        <w:t>t</w:t>
      </w:r>
      <w:r>
        <w:rPr>
          <w:spacing w:val="-2"/>
        </w:rPr>
        <w:t>h</w:t>
      </w:r>
      <w:r>
        <w:t>ere</w:t>
      </w:r>
      <w:r>
        <w:rPr>
          <w:spacing w:val="-3"/>
        </w:rPr>
        <w:t xml:space="preserve"> </w:t>
      </w:r>
      <w:r>
        <w:t>is</w:t>
      </w:r>
      <w:r>
        <w:rPr>
          <w:spacing w:val="-2"/>
        </w:rPr>
        <w:t xml:space="preserve"> </w:t>
      </w:r>
      <w:r>
        <w:t>mo</w:t>
      </w:r>
      <w:r>
        <w:rPr>
          <w:spacing w:val="-3"/>
        </w:rPr>
        <w:t>r</w:t>
      </w:r>
      <w:r>
        <w:t>e</w:t>
      </w:r>
      <w:r>
        <w:rPr>
          <w:spacing w:val="-2"/>
        </w:rPr>
        <w:t xml:space="preserve"> t</w:t>
      </w:r>
      <w:r>
        <w:t>h</w:t>
      </w:r>
      <w:r>
        <w:rPr>
          <w:spacing w:val="-3"/>
        </w:rPr>
        <w:t>a</w:t>
      </w:r>
      <w:r>
        <w:t>n</w:t>
      </w:r>
      <w:r>
        <w:rPr>
          <w:spacing w:val="-1"/>
        </w:rPr>
        <w:t xml:space="preserve"> </w:t>
      </w:r>
      <w:r>
        <w:rPr>
          <w:spacing w:val="-2"/>
        </w:rPr>
        <w:t>o</w:t>
      </w:r>
      <w:r>
        <w:t>ne</w:t>
      </w:r>
      <w:r>
        <w:rPr>
          <w:spacing w:val="-2"/>
        </w:rPr>
        <w:t xml:space="preserve"> </w:t>
      </w:r>
      <w:r>
        <w:rPr>
          <w:spacing w:val="-3"/>
        </w:rPr>
        <w:t>S</w:t>
      </w:r>
      <w:r>
        <w:t>u</w:t>
      </w:r>
      <w:r>
        <w:rPr>
          <w:spacing w:val="-2"/>
        </w:rPr>
        <w:t>p</w:t>
      </w:r>
      <w:r>
        <w:t>plier</w:t>
      </w:r>
      <w:r>
        <w:rPr>
          <w:spacing w:val="-3"/>
        </w:rPr>
        <w:t xml:space="preserve"> </w:t>
      </w:r>
      <w:r>
        <w:t>availa</w:t>
      </w:r>
      <w:r>
        <w:rPr>
          <w:spacing w:val="1"/>
        </w:rPr>
        <w:t>b</w:t>
      </w:r>
      <w:r>
        <w:t>le</w:t>
      </w:r>
      <w:r>
        <w:rPr>
          <w:spacing w:val="-6"/>
        </w:rPr>
        <w:t xml:space="preserve"> </w:t>
      </w:r>
      <w:r>
        <w:t>on</w:t>
      </w:r>
      <w:r>
        <w:rPr>
          <w:spacing w:val="-3"/>
        </w:rPr>
        <w:t xml:space="preserve"> </w:t>
      </w:r>
      <w:r>
        <w:t>the</w:t>
      </w:r>
      <w:r>
        <w:rPr>
          <w:spacing w:val="-5"/>
        </w:rPr>
        <w:t xml:space="preserve"> </w:t>
      </w:r>
      <w:r>
        <w:t>Framework</w:t>
      </w:r>
      <w:r>
        <w:rPr>
          <w:spacing w:val="-2"/>
        </w:rPr>
        <w:t xml:space="preserve"> </w:t>
      </w:r>
      <w:r>
        <w:t>Ag</w:t>
      </w:r>
      <w:r>
        <w:rPr>
          <w:spacing w:val="-2"/>
        </w:rPr>
        <w:t>r</w:t>
      </w:r>
      <w:r>
        <w:t>e</w:t>
      </w:r>
      <w:r>
        <w:rPr>
          <w:spacing w:val="-2"/>
        </w:rPr>
        <w:t>e</w:t>
      </w:r>
      <w:r>
        <w:t>me</w:t>
      </w:r>
      <w:r>
        <w:rPr>
          <w:spacing w:val="1"/>
        </w:rPr>
        <w:t>n</w:t>
      </w:r>
      <w:r>
        <w:t>t</w:t>
      </w:r>
      <w:r>
        <w:rPr>
          <w:spacing w:val="-3"/>
        </w:rPr>
        <w:t xml:space="preserve"> </w:t>
      </w:r>
      <w:r>
        <w:rPr>
          <w:spacing w:val="-2"/>
        </w:rPr>
        <w:t>t</w:t>
      </w:r>
      <w:r>
        <w:t>he</w:t>
      </w:r>
      <w:r>
        <w:rPr>
          <w:spacing w:val="-2"/>
        </w:rPr>
        <w:t xml:space="preserve"> </w:t>
      </w:r>
      <w:r>
        <w:t>va</w:t>
      </w:r>
      <w:r>
        <w:rPr>
          <w:spacing w:val="-3"/>
        </w:rPr>
        <w:t>l</w:t>
      </w:r>
      <w:r>
        <w:t>ue</w:t>
      </w:r>
      <w:r>
        <w:rPr>
          <w:spacing w:val="-3"/>
        </w:rPr>
        <w:t xml:space="preserve"> </w:t>
      </w:r>
      <w:r>
        <w:t>of</w:t>
      </w:r>
      <w:r>
        <w:rPr>
          <w:spacing w:val="-3"/>
        </w:rPr>
        <w:t xml:space="preserve"> </w:t>
      </w:r>
      <w:r>
        <w:t>t</w:t>
      </w:r>
      <w:r>
        <w:rPr>
          <w:spacing w:val="-2"/>
        </w:rPr>
        <w:t>h</w:t>
      </w:r>
      <w:r>
        <w:t>e</w:t>
      </w:r>
      <w:r>
        <w:rPr>
          <w:spacing w:val="-4"/>
        </w:rPr>
        <w:t xml:space="preserve"> </w:t>
      </w:r>
      <w:r>
        <w:t>p</w:t>
      </w:r>
      <w:r>
        <w:rPr>
          <w:spacing w:val="-3"/>
        </w:rPr>
        <w:t>r</w:t>
      </w:r>
      <w:r>
        <w:t>opos</w:t>
      </w:r>
      <w:r>
        <w:rPr>
          <w:spacing w:val="-3"/>
        </w:rPr>
        <w:t>e</w:t>
      </w:r>
      <w:r>
        <w:t>d purchase</w:t>
      </w:r>
      <w:r>
        <w:rPr>
          <w:spacing w:val="-8"/>
        </w:rPr>
        <w:t xml:space="preserve"> </w:t>
      </w:r>
      <w:r>
        <w:rPr>
          <w:spacing w:val="-2"/>
        </w:rPr>
        <w:t>d</w:t>
      </w:r>
      <w:r>
        <w:t>e</w:t>
      </w:r>
      <w:r>
        <w:rPr>
          <w:spacing w:val="1"/>
        </w:rPr>
        <w:t>t</w:t>
      </w:r>
      <w:r>
        <w:t>e</w:t>
      </w:r>
      <w:r>
        <w:rPr>
          <w:spacing w:val="-2"/>
        </w:rPr>
        <w:t>r</w:t>
      </w:r>
      <w:r>
        <w:t>mi</w:t>
      </w:r>
      <w:r>
        <w:rPr>
          <w:spacing w:val="1"/>
        </w:rPr>
        <w:t>n</w:t>
      </w:r>
      <w:r>
        <w:t>es</w:t>
      </w:r>
      <w:r>
        <w:rPr>
          <w:spacing w:val="-8"/>
        </w:rPr>
        <w:t xml:space="preserve"> </w:t>
      </w:r>
      <w:r>
        <w:t>t</w:t>
      </w:r>
      <w:r>
        <w:rPr>
          <w:spacing w:val="-2"/>
        </w:rPr>
        <w:t>h</w:t>
      </w:r>
      <w:r>
        <w:t>e</w:t>
      </w:r>
      <w:r>
        <w:rPr>
          <w:spacing w:val="-8"/>
        </w:rPr>
        <w:t xml:space="preserve"> </w:t>
      </w:r>
      <w:r>
        <w:rPr>
          <w:spacing w:val="-1"/>
        </w:rPr>
        <w:t>c</w:t>
      </w:r>
      <w:r>
        <w:rPr>
          <w:spacing w:val="3"/>
        </w:rPr>
        <w:t>o</w:t>
      </w:r>
      <w:r>
        <w:t>m</w:t>
      </w:r>
      <w:r>
        <w:rPr>
          <w:spacing w:val="1"/>
        </w:rPr>
        <w:t>p</w:t>
      </w:r>
      <w:r>
        <w:rPr>
          <w:spacing w:val="-2"/>
        </w:rPr>
        <w:t>e</w:t>
      </w:r>
      <w:r>
        <w:t>ti</w:t>
      </w:r>
      <w:r>
        <w:rPr>
          <w:spacing w:val="1"/>
        </w:rPr>
        <w:t>t</w:t>
      </w:r>
      <w:r>
        <w:t>ive</w:t>
      </w:r>
      <w:r>
        <w:rPr>
          <w:spacing w:val="-7"/>
        </w:rPr>
        <w:t xml:space="preserve"> </w:t>
      </w:r>
      <w:r>
        <w:t>r</w:t>
      </w:r>
      <w:r>
        <w:rPr>
          <w:spacing w:val="-2"/>
        </w:rPr>
        <w:t>e</w:t>
      </w:r>
      <w:r>
        <w:t>quir</w:t>
      </w:r>
      <w:r>
        <w:rPr>
          <w:spacing w:val="-2"/>
        </w:rPr>
        <w:t>e</w:t>
      </w:r>
      <w:r>
        <w:t>ments</w:t>
      </w:r>
      <w:r>
        <w:rPr>
          <w:spacing w:val="-5"/>
        </w:rPr>
        <w:t xml:space="preserve"> </w:t>
      </w:r>
      <w:r>
        <w:t>as</w:t>
      </w:r>
      <w:r>
        <w:rPr>
          <w:spacing w:val="-8"/>
        </w:rPr>
        <w:t xml:space="preserve"> </w:t>
      </w:r>
      <w:r>
        <w:t>follo</w:t>
      </w:r>
      <w:r>
        <w:rPr>
          <w:spacing w:val="-2"/>
        </w:rPr>
        <w:t>w</w:t>
      </w:r>
      <w:r>
        <w:t>s:</w:t>
      </w:r>
    </w:p>
    <w:p w:rsidR="005137AF" w:rsidRDefault="005137AF" w:rsidP="004455F6">
      <w:pPr>
        <w:pStyle w:val="BodyText"/>
        <w:ind w:left="0" w:right="117"/>
        <w:jc w:val="both"/>
      </w:pPr>
    </w:p>
    <w:tbl>
      <w:tblPr>
        <w:tblStyle w:val="TableGrid"/>
        <w:tblW w:w="10565" w:type="dxa"/>
        <w:jc w:val="center"/>
        <w:tblLook w:val="04A0" w:firstRow="1" w:lastRow="0" w:firstColumn="1" w:lastColumn="0" w:noHBand="0" w:noVBand="1"/>
      </w:tblPr>
      <w:tblGrid>
        <w:gridCol w:w="3052"/>
        <w:gridCol w:w="7513"/>
      </w:tblGrid>
      <w:tr w:rsidR="005137AF" w:rsidTr="00271868">
        <w:trPr>
          <w:jc w:val="center"/>
        </w:trPr>
        <w:tc>
          <w:tcPr>
            <w:tcW w:w="3052" w:type="dxa"/>
          </w:tcPr>
          <w:p w:rsidR="005137AF" w:rsidRPr="00271868" w:rsidRDefault="005137AF" w:rsidP="004455F6">
            <w:pPr>
              <w:pStyle w:val="BodyText"/>
              <w:ind w:left="0" w:right="117"/>
              <w:jc w:val="both"/>
              <w:rPr>
                <w:sz w:val="22"/>
                <w:szCs w:val="22"/>
              </w:rPr>
            </w:pPr>
            <w:r w:rsidRPr="00271868">
              <w:rPr>
                <w:sz w:val="22"/>
                <w:szCs w:val="22"/>
              </w:rPr>
              <w:t>Up to £10,000 exc. VAT</w:t>
            </w:r>
          </w:p>
        </w:tc>
        <w:tc>
          <w:tcPr>
            <w:tcW w:w="7513" w:type="dxa"/>
          </w:tcPr>
          <w:p w:rsidR="005137AF" w:rsidRPr="00271868" w:rsidRDefault="005137AF" w:rsidP="004455F6">
            <w:pPr>
              <w:pStyle w:val="BodyText"/>
              <w:ind w:left="0" w:right="117"/>
              <w:jc w:val="both"/>
              <w:rPr>
                <w:sz w:val="22"/>
                <w:szCs w:val="22"/>
              </w:rPr>
            </w:pPr>
            <w:r w:rsidRPr="00271868">
              <w:rPr>
                <w:sz w:val="22"/>
                <w:szCs w:val="22"/>
              </w:rPr>
              <w:t>No competition required.  Select approved supplier from those available.</w:t>
            </w:r>
          </w:p>
        </w:tc>
      </w:tr>
      <w:tr w:rsidR="005137AF" w:rsidTr="00271868">
        <w:trPr>
          <w:jc w:val="center"/>
        </w:trPr>
        <w:tc>
          <w:tcPr>
            <w:tcW w:w="3052" w:type="dxa"/>
          </w:tcPr>
          <w:p w:rsidR="005137AF" w:rsidRPr="00271868" w:rsidRDefault="005137AF" w:rsidP="004455F6">
            <w:pPr>
              <w:pStyle w:val="BodyText"/>
              <w:ind w:left="0" w:right="203"/>
              <w:jc w:val="both"/>
              <w:rPr>
                <w:sz w:val="22"/>
                <w:szCs w:val="22"/>
              </w:rPr>
            </w:pPr>
            <w:r w:rsidRPr="00271868">
              <w:rPr>
                <w:sz w:val="22"/>
                <w:szCs w:val="22"/>
              </w:rPr>
              <w:t>£10,001 to £25,000 exc. VAT</w:t>
            </w:r>
          </w:p>
        </w:tc>
        <w:tc>
          <w:tcPr>
            <w:tcW w:w="7513" w:type="dxa"/>
          </w:tcPr>
          <w:p w:rsidR="005137AF" w:rsidRPr="00271868" w:rsidRDefault="00E42F9D" w:rsidP="004455F6">
            <w:pPr>
              <w:pStyle w:val="BodyText"/>
              <w:ind w:left="0" w:right="203"/>
              <w:jc w:val="both"/>
              <w:rPr>
                <w:sz w:val="22"/>
                <w:szCs w:val="22"/>
              </w:rPr>
            </w:pPr>
            <w:r w:rsidRPr="00271868">
              <w:rPr>
                <w:sz w:val="22"/>
                <w:szCs w:val="22"/>
              </w:rPr>
              <w:t>RFQ process mini compe</w:t>
            </w:r>
            <w:r w:rsidR="00B6602A">
              <w:rPr>
                <w:sz w:val="22"/>
                <w:szCs w:val="22"/>
              </w:rPr>
              <w:t>tition involving all suppliers.</w:t>
            </w:r>
          </w:p>
        </w:tc>
      </w:tr>
      <w:tr w:rsidR="005137AF" w:rsidTr="00271868">
        <w:trPr>
          <w:jc w:val="center"/>
        </w:trPr>
        <w:tc>
          <w:tcPr>
            <w:tcW w:w="3052" w:type="dxa"/>
          </w:tcPr>
          <w:p w:rsidR="005137AF" w:rsidRPr="00271868" w:rsidRDefault="005137AF" w:rsidP="004455F6">
            <w:pPr>
              <w:pStyle w:val="BodyText"/>
              <w:ind w:left="0" w:right="203"/>
              <w:jc w:val="both"/>
              <w:rPr>
                <w:sz w:val="22"/>
                <w:szCs w:val="22"/>
              </w:rPr>
            </w:pPr>
            <w:r w:rsidRPr="00271868">
              <w:rPr>
                <w:sz w:val="22"/>
                <w:szCs w:val="22"/>
              </w:rPr>
              <w:t>Over £25,001 exc. VAT</w:t>
            </w:r>
          </w:p>
        </w:tc>
        <w:tc>
          <w:tcPr>
            <w:tcW w:w="7513" w:type="dxa"/>
          </w:tcPr>
          <w:p w:rsidR="005137AF" w:rsidRPr="00271868" w:rsidRDefault="00E42F9D" w:rsidP="004455F6">
            <w:pPr>
              <w:pStyle w:val="BodyText"/>
              <w:ind w:left="0" w:right="203"/>
              <w:jc w:val="both"/>
              <w:rPr>
                <w:sz w:val="22"/>
                <w:szCs w:val="22"/>
              </w:rPr>
            </w:pPr>
            <w:r w:rsidRPr="00271868">
              <w:rPr>
                <w:sz w:val="22"/>
                <w:szCs w:val="22"/>
              </w:rPr>
              <w:t xml:space="preserve">Formal mini competition involving all suppliers.  </w:t>
            </w:r>
            <w:r w:rsidRPr="00271868">
              <w:rPr>
                <w:b/>
                <w:sz w:val="22"/>
                <w:szCs w:val="22"/>
              </w:rPr>
              <w:t>Consult Procurement</w:t>
            </w:r>
            <w:r w:rsidRPr="00271868">
              <w:rPr>
                <w:sz w:val="22"/>
                <w:szCs w:val="22"/>
              </w:rPr>
              <w:t>.</w:t>
            </w:r>
          </w:p>
        </w:tc>
      </w:tr>
    </w:tbl>
    <w:p w:rsidR="005137AF" w:rsidRDefault="005137AF" w:rsidP="004455F6">
      <w:pPr>
        <w:pStyle w:val="BodyText"/>
        <w:ind w:left="0" w:right="203"/>
        <w:jc w:val="both"/>
      </w:pPr>
    </w:p>
    <w:p w:rsidR="005137AF" w:rsidRPr="00271868" w:rsidRDefault="005137AF" w:rsidP="004455F6">
      <w:pPr>
        <w:pStyle w:val="ListParagraph"/>
        <w:numPr>
          <w:ilvl w:val="0"/>
          <w:numId w:val="12"/>
        </w:numPr>
        <w:jc w:val="both"/>
        <w:rPr>
          <w:b/>
        </w:rPr>
      </w:pPr>
      <w:r w:rsidRPr="00271868">
        <w:rPr>
          <w:b/>
        </w:rPr>
        <w:t>As a result of a competitive tender/quotation exercise.</w:t>
      </w:r>
    </w:p>
    <w:p w:rsidR="00E42F9D" w:rsidRDefault="00E42F9D" w:rsidP="004455F6">
      <w:pPr>
        <w:pStyle w:val="ListParagraph"/>
        <w:numPr>
          <w:ilvl w:val="1"/>
          <w:numId w:val="12"/>
        </w:numPr>
        <w:jc w:val="both"/>
      </w:pPr>
      <w:r>
        <w:t xml:space="preserve">You should consider the full value of the purchase, </w:t>
      </w:r>
      <w:r w:rsidR="006261EF">
        <w:t>i.e.</w:t>
      </w:r>
      <w:r>
        <w:t xml:space="preserve"> include the number of years, any support or maintenance required, etc.</w:t>
      </w:r>
    </w:p>
    <w:p w:rsidR="00E42F9D" w:rsidRDefault="00E42F9D" w:rsidP="004455F6">
      <w:pPr>
        <w:pStyle w:val="ListParagraph"/>
        <w:numPr>
          <w:ilvl w:val="1"/>
          <w:numId w:val="12"/>
        </w:numPr>
        <w:jc w:val="both"/>
      </w:pPr>
      <w:r>
        <w:t>Consider weighting of pricing/quality.  You should have a clear rationale if you do not select the cheapest option.</w:t>
      </w:r>
    </w:p>
    <w:p w:rsidR="004455F6" w:rsidRDefault="00E42F9D" w:rsidP="004455F6">
      <w:pPr>
        <w:pStyle w:val="ListParagraph"/>
        <w:numPr>
          <w:ilvl w:val="1"/>
          <w:numId w:val="12"/>
        </w:numPr>
        <w:jc w:val="both"/>
      </w:pPr>
      <w:r>
        <w:t>Plea</w:t>
      </w:r>
      <w:r w:rsidR="0028759B">
        <w:t>se see below for the thresholds:</w:t>
      </w:r>
    </w:p>
    <w:p w:rsidR="004455F6" w:rsidRDefault="004455F6" w:rsidP="004455F6">
      <w:pPr>
        <w:pStyle w:val="ListParagraph"/>
        <w:ind w:left="1440"/>
        <w:jc w:val="both"/>
      </w:pPr>
    </w:p>
    <w:tbl>
      <w:tblPr>
        <w:tblStyle w:val="TableGrid"/>
        <w:tblW w:w="0" w:type="auto"/>
        <w:jc w:val="center"/>
        <w:tblLook w:val="04A0" w:firstRow="1" w:lastRow="0" w:firstColumn="1" w:lastColumn="0" w:noHBand="0" w:noVBand="1"/>
      </w:tblPr>
      <w:tblGrid>
        <w:gridCol w:w="2931"/>
        <w:gridCol w:w="7666"/>
      </w:tblGrid>
      <w:tr w:rsidR="00E42F9D" w:rsidTr="0028759B">
        <w:trPr>
          <w:jc w:val="center"/>
        </w:trPr>
        <w:tc>
          <w:tcPr>
            <w:tcW w:w="2987" w:type="dxa"/>
          </w:tcPr>
          <w:p w:rsidR="00E42F9D" w:rsidRDefault="00E42F9D" w:rsidP="004455F6">
            <w:pPr>
              <w:jc w:val="both"/>
            </w:pPr>
            <w:r>
              <w:t>Up to £500 exc. VAT</w:t>
            </w:r>
          </w:p>
        </w:tc>
        <w:tc>
          <w:tcPr>
            <w:tcW w:w="7836" w:type="dxa"/>
          </w:tcPr>
          <w:p w:rsidR="00E42F9D" w:rsidRDefault="00E42F9D" w:rsidP="004455F6">
            <w:pPr>
              <w:jc w:val="both"/>
            </w:pPr>
            <w:r>
              <w:t>Estimated price.</w:t>
            </w:r>
          </w:p>
        </w:tc>
      </w:tr>
      <w:tr w:rsidR="00E42F9D" w:rsidTr="0028759B">
        <w:trPr>
          <w:jc w:val="center"/>
        </w:trPr>
        <w:tc>
          <w:tcPr>
            <w:tcW w:w="2987" w:type="dxa"/>
          </w:tcPr>
          <w:p w:rsidR="00E42F9D" w:rsidRDefault="00E42F9D" w:rsidP="004455F6">
            <w:pPr>
              <w:jc w:val="both"/>
            </w:pPr>
            <w:r>
              <w:t>£501 to £5,000 exc. VAT</w:t>
            </w:r>
          </w:p>
        </w:tc>
        <w:tc>
          <w:tcPr>
            <w:tcW w:w="7836" w:type="dxa"/>
          </w:tcPr>
          <w:p w:rsidR="00E42F9D" w:rsidRDefault="00E42F9D" w:rsidP="004455F6">
            <w:pPr>
              <w:jc w:val="both"/>
            </w:pPr>
            <w:r>
              <w:t>Written quotation.</w:t>
            </w:r>
          </w:p>
        </w:tc>
      </w:tr>
      <w:tr w:rsidR="00E42F9D" w:rsidTr="0028759B">
        <w:trPr>
          <w:jc w:val="center"/>
        </w:trPr>
        <w:tc>
          <w:tcPr>
            <w:tcW w:w="2987" w:type="dxa"/>
          </w:tcPr>
          <w:p w:rsidR="00E42F9D" w:rsidRDefault="00E42F9D" w:rsidP="004455F6">
            <w:pPr>
              <w:jc w:val="both"/>
            </w:pPr>
            <w:r>
              <w:t>£5,001 to £25,000 exc. VAT</w:t>
            </w:r>
          </w:p>
        </w:tc>
        <w:tc>
          <w:tcPr>
            <w:tcW w:w="7836" w:type="dxa"/>
          </w:tcPr>
          <w:p w:rsidR="00E42F9D" w:rsidRDefault="00E42F9D" w:rsidP="004455F6">
            <w:pPr>
              <w:jc w:val="both"/>
            </w:pPr>
            <w:r>
              <w:t>At least three competitive written quotations.</w:t>
            </w:r>
          </w:p>
        </w:tc>
      </w:tr>
      <w:tr w:rsidR="00E42F9D" w:rsidTr="0028759B">
        <w:trPr>
          <w:jc w:val="center"/>
        </w:trPr>
        <w:tc>
          <w:tcPr>
            <w:tcW w:w="2987" w:type="dxa"/>
          </w:tcPr>
          <w:p w:rsidR="00E42F9D" w:rsidRDefault="00E42F9D" w:rsidP="004455F6">
            <w:pPr>
              <w:jc w:val="both"/>
            </w:pPr>
            <w:r>
              <w:t>£25,001 to £181,302 exc. VAT</w:t>
            </w:r>
          </w:p>
        </w:tc>
        <w:tc>
          <w:tcPr>
            <w:tcW w:w="7836" w:type="dxa"/>
          </w:tcPr>
          <w:p w:rsidR="0028759B" w:rsidRDefault="00E42F9D" w:rsidP="004455F6">
            <w:pPr>
              <w:jc w:val="both"/>
            </w:pPr>
            <w:r>
              <w:t>At least three competitive written quotations/tenders against a formal RFQ</w:t>
            </w:r>
            <w:r w:rsidR="0028759B">
              <w:t xml:space="preserve">/Tender Process.  Express written contract required.  </w:t>
            </w:r>
            <w:r w:rsidR="0028759B" w:rsidRPr="00C04465">
              <w:rPr>
                <w:b/>
              </w:rPr>
              <w:t>Consult Procurement</w:t>
            </w:r>
            <w:r w:rsidR="0028759B">
              <w:t>.</w:t>
            </w:r>
          </w:p>
        </w:tc>
      </w:tr>
      <w:tr w:rsidR="00E42F9D" w:rsidTr="0028759B">
        <w:trPr>
          <w:jc w:val="center"/>
        </w:trPr>
        <w:tc>
          <w:tcPr>
            <w:tcW w:w="2987" w:type="dxa"/>
          </w:tcPr>
          <w:p w:rsidR="00E42F9D" w:rsidRDefault="0028759B" w:rsidP="004455F6">
            <w:pPr>
              <w:jc w:val="both"/>
            </w:pPr>
            <w:r>
              <w:t>Above £181,302 exc. VAT</w:t>
            </w:r>
          </w:p>
        </w:tc>
        <w:tc>
          <w:tcPr>
            <w:tcW w:w="7836" w:type="dxa"/>
          </w:tcPr>
          <w:p w:rsidR="00E42F9D" w:rsidRDefault="0028759B" w:rsidP="004455F6">
            <w:pPr>
              <w:jc w:val="both"/>
            </w:pPr>
            <w:r>
              <w:t xml:space="preserve">Competitive tender process in compliance with Public Contract Regulations 2015.  </w:t>
            </w:r>
            <w:r w:rsidRPr="00C04465">
              <w:rPr>
                <w:b/>
              </w:rPr>
              <w:t>Consult Procurement</w:t>
            </w:r>
            <w:r>
              <w:t xml:space="preserve">. </w:t>
            </w:r>
            <w:r w:rsidRPr="0028759B">
              <w:t xml:space="preserve">Please note; the EU </w:t>
            </w:r>
            <w:r>
              <w:t xml:space="preserve">Works </w:t>
            </w:r>
            <w:r w:rsidRPr="0028759B">
              <w:t>Threshold is £4,551,413</w:t>
            </w:r>
            <w:r>
              <w:t xml:space="preserve"> exc. VAT</w:t>
            </w:r>
          </w:p>
        </w:tc>
      </w:tr>
    </w:tbl>
    <w:p w:rsidR="0028759B" w:rsidRDefault="0028759B" w:rsidP="004455F6">
      <w:pPr>
        <w:pStyle w:val="ListParagraph"/>
        <w:ind w:left="720"/>
        <w:jc w:val="both"/>
      </w:pPr>
    </w:p>
    <w:p w:rsidR="004271FB" w:rsidRDefault="005137AF" w:rsidP="004455F6">
      <w:pPr>
        <w:pStyle w:val="ListParagraph"/>
        <w:numPr>
          <w:ilvl w:val="0"/>
          <w:numId w:val="12"/>
        </w:numPr>
        <w:jc w:val="both"/>
      </w:pPr>
      <w:r w:rsidRPr="00CA4DF2">
        <w:rPr>
          <w:b/>
        </w:rPr>
        <w:t>Single Source Approval.</w:t>
      </w:r>
      <w:r w:rsidR="0028759B">
        <w:t xml:space="preserve">  Information on the Single Source Approvals process is available at: </w:t>
      </w:r>
      <w:hyperlink r:id="rId8" w:history="1">
        <w:r w:rsidR="00CA4DF2" w:rsidRPr="00852ED4">
          <w:rPr>
            <w:rStyle w:val="Hyperlink"/>
          </w:rPr>
          <w:t>https://intranet.birmingham.ac.uk/finance/procurement/Single-Source-Approval.aspx</w:t>
        </w:r>
      </w:hyperlink>
    </w:p>
    <w:p w:rsidR="00CA4DF2" w:rsidRDefault="00CA4DF2" w:rsidP="004455F6">
      <w:pPr>
        <w:jc w:val="both"/>
      </w:pPr>
    </w:p>
    <w:tbl>
      <w:tblPr>
        <w:tblStyle w:val="TableGrid"/>
        <w:tblW w:w="0" w:type="auto"/>
        <w:jc w:val="center"/>
        <w:tblLook w:val="04A0" w:firstRow="1" w:lastRow="0" w:firstColumn="1" w:lastColumn="0" w:noHBand="0" w:noVBand="1"/>
      </w:tblPr>
      <w:tblGrid>
        <w:gridCol w:w="2933"/>
        <w:gridCol w:w="7664"/>
      </w:tblGrid>
      <w:tr w:rsidR="0028759B" w:rsidTr="0028759B">
        <w:trPr>
          <w:jc w:val="center"/>
        </w:trPr>
        <w:tc>
          <w:tcPr>
            <w:tcW w:w="2987" w:type="dxa"/>
          </w:tcPr>
          <w:p w:rsidR="0028759B" w:rsidRDefault="0028759B" w:rsidP="004455F6">
            <w:pPr>
              <w:jc w:val="both"/>
            </w:pPr>
            <w:r>
              <w:t>Up to £5,000 exc. VAT</w:t>
            </w:r>
          </w:p>
        </w:tc>
        <w:tc>
          <w:tcPr>
            <w:tcW w:w="7836" w:type="dxa"/>
          </w:tcPr>
          <w:p w:rsidR="0028759B" w:rsidRDefault="0028759B" w:rsidP="004455F6">
            <w:pPr>
              <w:jc w:val="both"/>
            </w:pPr>
            <w:r>
              <w:t>Single Source Approval not required.</w:t>
            </w:r>
          </w:p>
        </w:tc>
      </w:tr>
      <w:tr w:rsidR="0028759B" w:rsidTr="0028759B">
        <w:trPr>
          <w:jc w:val="center"/>
        </w:trPr>
        <w:tc>
          <w:tcPr>
            <w:tcW w:w="2987" w:type="dxa"/>
          </w:tcPr>
          <w:p w:rsidR="0028759B" w:rsidRDefault="0028759B" w:rsidP="004455F6">
            <w:pPr>
              <w:jc w:val="both"/>
            </w:pPr>
            <w:r>
              <w:t>£5,001 to £10,000 exc. VAT</w:t>
            </w:r>
          </w:p>
        </w:tc>
        <w:tc>
          <w:tcPr>
            <w:tcW w:w="7836" w:type="dxa"/>
          </w:tcPr>
          <w:p w:rsidR="0028759B" w:rsidRDefault="0028759B" w:rsidP="004455F6">
            <w:pPr>
              <w:jc w:val="both"/>
            </w:pPr>
            <w:r>
              <w:t>Single Source Approval can be granted by the college finance team/</w:t>
            </w:r>
            <w:r w:rsidR="00A75411">
              <w:t>University Buying Team</w:t>
            </w:r>
          </w:p>
        </w:tc>
      </w:tr>
      <w:tr w:rsidR="0028759B" w:rsidTr="0028759B">
        <w:trPr>
          <w:jc w:val="center"/>
        </w:trPr>
        <w:tc>
          <w:tcPr>
            <w:tcW w:w="2987" w:type="dxa"/>
          </w:tcPr>
          <w:p w:rsidR="0028759B" w:rsidRDefault="0028759B" w:rsidP="004455F6">
            <w:pPr>
              <w:jc w:val="both"/>
            </w:pPr>
            <w:r>
              <w:t>£10,001 to £25,000 exc. VAT</w:t>
            </w:r>
          </w:p>
        </w:tc>
        <w:tc>
          <w:tcPr>
            <w:tcW w:w="7836" w:type="dxa"/>
          </w:tcPr>
          <w:p w:rsidR="0028759B" w:rsidRDefault="0028759B" w:rsidP="004455F6">
            <w:pPr>
              <w:jc w:val="both"/>
            </w:pPr>
            <w:r>
              <w:t>Single Source Approval required from Procurement.</w:t>
            </w:r>
          </w:p>
        </w:tc>
      </w:tr>
      <w:tr w:rsidR="0028759B" w:rsidTr="0028759B">
        <w:trPr>
          <w:jc w:val="center"/>
        </w:trPr>
        <w:tc>
          <w:tcPr>
            <w:tcW w:w="2987" w:type="dxa"/>
          </w:tcPr>
          <w:p w:rsidR="0028759B" w:rsidRPr="00F76758" w:rsidRDefault="0028759B" w:rsidP="004455F6">
            <w:pPr>
              <w:jc w:val="both"/>
            </w:pPr>
            <w:r w:rsidRPr="00F76758">
              <w:t>£25,001 to £181,302 exc. VAT</w:t>
            </w:r>
          </w:p>
        </w:tc>
        <w:tc>
          <w:tcPr>
            <w:tcW w:w="7836" w:type="dxa"/>
          </w:tcPr>
          <w:p w:rsidR="0028759B" w:rsidRDefault="0028759B" w:rsidP="004455F6">
            <w:pPr>
              <w:jc w:val="both"/>
            </w:pPr>
            <w:r>
              <w:t xml:space="preserve">Single Source Approval required from Procurement.  Express written contract required.  </w:t>
            </w:r>
            <w:r w:rsidRPr="00C04465">
              <w:rPr>
                <w:b/>
              </w:rPr>
              <w:t>Consult Procurement</w:t>
            </w:r>
            <w:r>
              <w:t>.</w:t>
            </w:r>
          </w:p>
        </w:tc>
      </w:tr>
      <w:tr w:rsidR="0028759B" w:rsidTr="0028759B">
        <w:trPr>
          <w:jc w:val="center"/>
        </w:trPr>
        <w:tc>
          <w:tcPr>
            <w:tcW w:w="2987" w:type="dxa"/>
          </w:tcPr>
          <w:p w:rsidR="0028759B" w:rsidRDefault="0028759B" w:rsidP="004455F6">
            <w:pPr>
              <w:jc w:val="both"/>
            </w:pPr>
            <w:r w:rsidRPr="00F76758">
              <w:t>Above £181,302 exc. VAT</w:t>
            </w:r>
          </w:p>
        </w:tc>
        <w:tc>
          <w:tcPr>
            <w:tcW w:w="7836" w:type="dxa"/>
          </w:tcPr>
          <w:p w:rsidR="0028759B" w:rsidRDefault="0028759B" w:rsidP="004455F6">
            <w:pPr>
              <w:jc w:val="both"/>
            </w:pPr>
            <w:r>
              <w:t xml:space="preserve">Single Source Approval cannot be granted.  </w:t>
            </w:r>
            <w:r w:rsidRPr="00C04465">
              <w:rPr>
                <w:b/>
              </w:rPr>
              <w:t>Consult Procurement</w:t>
            </w:r>
            <w:r>
              <w:t>.</w:t>
            </w:r>
          </w:p>
        </w:tc>
      </w:tr>
    </w:tbl>
    <w:p w:rsidR="004271FB" w:rsidRPr="000D3B45" w:rsidRDefault="004271FB" w:rsidP="004455F6">
      <w:pPr>
        <w:spacing w:after="120"/>
        <w:jc w:val="both"/>
        <w:rPr>
          <w:b/>
          <w:u w:val="single"/>
        </w:rPr>
      </w:pPr>
      <w:r>
        <w:br w:type="page"/>
      </w:r>
      <w:r w:rsidR="000D3B45" w:rsidRPr="000D3B45">
        <w:rPr>
          <w:b/>
          <w:u w:val="single"/>
        </w:rPr>
        <w:lastRenderedPageBreak/>
        <w:t xml:space="preserve">Requisition and </w:t>
      </w:r>
      <w:r w:rsidR="00271868" w:rsidRPr="000D3B45">
        <w:rPr>
          <w:b/>
          <w:u w:val="single"/>
        </w:rPr>
        <w:t>Supplier Setup</w:t>
      </w:r>
    </w:p>
    <w:p w:rsidR="00B8649E" w:rsidRPr="00B8649E" w:rsidRDefault="00B8649E" w:rsidP="004455F6">
      <w:pPr>
        <w:spacing w:after="120"/>
        <w:jc w:val="both"/>
      </w:pPr>
      <w:r>
        <w:t>The procedure for the addition of new suppliers within Oracle has changed.</w:t>
      </w:r>
      <w:r w:rsidR="00BD405B">
        <w:t xml:space="preserve">  Any request for a supplier to be created will </w:t>
      </w:r>
      <w:r w:rsidR="00336B06">
        <w:t xml:space="preserve">now </w:t>
      </w:r>
      <w:r w:rsidR="00BD405B">
        <w:t>form part of the requisition process, and the requisitioner will no longer be required to approach the supplier.</w:t>
      </w:r>
    </w:p>
    <w:p w:rsidR="004271FB" w:rsidRPr="00BD405B" w:rsidRDefault="004271FB" w:rsidP="004455F6">
      <w:pPr>
        <w:spacing w:after="120"/>
        <w:jc w:val="both"/>
      </w:pPr>
      <w:r w:rsidRPr="00B6602A">
        <w:rPr>
          <w:i/>
        </w:rPr>
        <w:t>Process:</w:t>
      </w:r>
    </w:p>
    <w:p w:rsidR="00336B06" w:rsidRDefault="00BD405B" w:rsidP="004455F6">
      <w:pPr>
        <w:pStyle w:val="ListParagraph"/>
        <w:numPr>
          <w:ilvl w:val="0"/>
          <w:numId w:val="15"/>
        </w:numPr>
        <w:spacing w:after="120"/>
        <w:jc w:val="both"/>
      </w:pPr>
      <w:r>
        <w:t xml:space="preserve">The requisitioner will </w:t>
      </w:r>
      <w:r w:rsidR="00336B06">
        <w:t xml:space="preserve">now </w:t>
      </w:r>
      <w:r>
        <w:t>be required to create a standard requisition within Oracle</w:t>
      </w:r>
      <w:r w:rsidR="00336B06">
        <w:t>, as opposed to the previous procedure where the requisition would complete Purchase Order Request Document.</w:t>
      </w:r>
    </w:p>
    <w:p w:rsidR="00301397" w:rsidRDefault="00BD405B" w:rsidP="004455F6">
      <w:pPr>
        <w:pStyle w:val="ListParagraph"/>
        <w:numPr>
          <w:ilvl w:val="0"/>
          <w:numId w:val="15"/>
        </w:numPr>
        <w:spacing w:after="120"/>
        <w:jc w:val="both"/>
      </w:pPr>
      <w:r>
        <w:t xml:space="preserve">When </w:t>
      </w:r>
      <w:r w:rsidR="00336B06">
        <w:t xml:space="preserve">entering the supplier you wish to use, if it does not appear, it means that the supplier is not in the </w:t>
      </w:r>
      <w:r w:rsidR="00301397">
        <w:t>Oracle database</w:t>
      </w:r>
      <w:r w:rsidR="00336B06">
        <w:t>, and will need to be created.  T</w:t>
      </w:r>
      <w:r>
        <w:t xml:space="preserve">he requisitioner </w:t>
      </w:r>
      <w:r w:rsidR="00336B06">
        <w:t xml:space="preserve">can type the information directly into the system, </w:t>
      </w:r>
      <w:r>
        <w:t>add</w:t>
      </w:r>
      <w:r w:rsidR="00301397">
        <w:t>ing</w:t>
      </w:r>
      <w:r>
        <w:t xml:space="preserve"> as much information as they have, and tick</w:t>
      </w:r>
      <w:r w:rsidR="00301397">
        <w:t>ing</w:t>
      </w:r>
      <w:r>
        <w:t xml:space="preserve"> the box that says “New </w:t>
      </w:r>
      <w:r w:rsidR="00301397">
        <w:t>Supplier” on the front screen.</w:t>
      </w:r>
    </w:p>
    <w:p w:rsidR="00BD405B" w:rsidRDefault="00301397" w:rsidP="004455F6">
      <w:pPr>
        <w:pStyle w:val="ListParagraph"/>
        <w:numPr>
          <w:ilvl w:val="0"/>
          <w:numId w:val="15"/>
        </w:numPr>
        <w:spacing w:after="120"/>
        <w:jc w:val="both"/>
      </w:pPr>
      <w:r>
        <w:t xml:space="preserve">Complete your requisition line details.  </w:t>
      </w:r>
      <w:r w:rsidR="00BD405B">
        <w:t xml:space="preserve">If a </w:t>
      </w:r>
      <w:r w:rsidR="00EB3165">
        <w:t>Single</w:t>
      </w:r>
      <w:r w:rsidR="00BD405B">
        <w:t xml:space="preserve"> Source Agreement or any other documentation is required, such as quotations, then you must also attach them at this stage.</w:t>
      </w:r>
    </w:p>
    <w:p w:rsidR="00BD405B" w:rsidRDefault="00BD405B" w:rsidP="004455F6">
      <w:pPr>
        <w:pStyle w:val="ListParagraph"/>
        <w:numPr>
          <w:ilvl w:val="0"/>
          <w:numId w:val="15"/>
        </w:numPr>
        <w:spacing w:after="120"/>
        <w:jc w:val="both"/>
      </w:pPr>
      <w:r>
        <w:t>Once the requisition has been submitted</w:t>
      </w:r>
      <w:r w:rsidR="00EB3165">
        <w:t xml:space="preserve"> to the system</w:t>
      </w:r>
      <w:r>
        <w:t xml:space="preserve">, it will feed through to the University Buying Team where they will assess the request for a new supplier.  If the goods cannot be purchased from an alternative supplier (contracted supplier, for example), </w:t>
      </w:r>
      <w:r w:rsidR="005822B2">
        <w:t>the</w:t>
      </w:r>
      <w:r w:rsidR="00EB3165">
        <w:t>n a</w:t>
      </w:r>
      <w:r w:rsidR="005822B2">
        <w:t xml:space="preserve"> member of the Buying Team</w:t>
      </w:r>
      <w:r>
        <w:t xml:space="preserve"> will approach the supplier to complete the New Supplier Form, attach their bank details, VAT Certification, and any other pertinent documentation.</w:t>
      </w:r>
    </w:p>
    <w:p w:rsidR="005822B2" w:rsidRDefault="00EB3165" w:rsidP="004455F6">
      <w:pPr>
        <w:pStyle w:val="ListParagraph"/>
        <w:numPr>
          <w:ilvl w:val="0"/>
          <w:numId w:val="15"/>
        </w:numPr>
        <w:spacing w:after="120"/>
        <w:jc w:val="both"/>
      </w:pPr>
      <w:r>
        <w:t>Upon receiving that information, it will be checked over by the</w:t>
      </w:r>
      <w:r w:rsidR="005822B2">
        <w:t xml:space="preserve"> </w:t>
      </w:r>
      <w:r>
        <w:t xml:space="preserve">Buying Team, where if everything has been sent in correctly, they </w:t>
      </w:r>
      <w:r w:rsidR="005822B2">
        <w:t>will then reassign the requisition to:</w:t>
      </w:r>
    </w:p>
    <w:p w:rsidR="004455F6" w:rsidRDefault="005822B2" w:rsidP="004455F6">
      <w:pPr>
        <w:pStyle w:val="ListParagraph"/>
        <w:numPr>
          <w:ilvl w:val="1"/>
          <w:numId w:val="15"/>
        </w:numPr>
        <w:spacing w:after="120"/>
        <w:jc w:val="both"/>
      </w:pPr>
      <w:r>
        <w:t xml:space="preserve">A Procurement Category Manager to approve the Single Source Agreement.  If the SSA is approved, the requisition will then be reassigned to the Procurement Operations Team to create the supplier within Oracle, and add that supplier to the requisition.  Bank details are </w:t>
      </w:r>
      <w:r w:rsidR="004455F6">
        <w:t xml:space="preserve">then </w:t>
      </w:r>
      <w:r>
        <w:t xml:space="preserve">sent to Accounts Payable for independent </w:t>
      </w:r>
      <w:r w:rsidR="00EB3165">
        <w:t>verification</w:t>
      </w:r>
      <w:r>
        <w:t>, and addition to Oracle.</w:t>
      </w:r>
      <w:r w:rsidR="004455F6">
        <w:t xml:space="preserve">  </w:t>
      </w:r>
    </w:p>
    <w:p w:rsidR="00BD405B" w:rsidRDefault="004455F6" w:rsidP="004455F6">
      <w:pPr>
        <w:pStyle w:val="ListParagraph"/>
        <w:spacing w:after="120"/>
        <w:ind w:left="1440"/>
        <w:jc w:val="both"/>
      </w:pPr>
      <w:r>
        <w:t>Or</w:t>
      </w:r>
    </w:p>
    <w:p w:rsidR="005822B2" w:rsidRDefault="005822B2" w:rsidP="004455F6">
      <w:pPr>
        <w:pStyle w:val="ListParagraph"/>
        <w:numPr>
          <w:ilvl w:val="1"/>
          <w:numId w:val="15"/>
        </w:numPr>
        <w:spacing w:after="120"/>
        <w:jc w:val="both"/>
      </w:pPr>
      <w:r>
        <w:t xml:space="preserve">The Procurement Operations Team, where they will create the supplier in Oracle, and add it to the requisition.  </w:t>
      </w:r>
      <w:r w:rsidRPr="005822B2">
        <w:t xml:space="preserve">Bank details are sent to Accounts Payable for independent </w:t>
      </w:r>
      <w:r w:rsidR="00EB3165" w:rsidRPr="005822B2">
        <w:t>verification</w:t>
      </w:r>
      <w:r w:rsidRPr="005822B2">
        <w:t>, and addition to Oracle.</w:t>
      </w:r>
    </w:p>
    <w:p w:rsidR="005822B2" w:rsidRDefault="005822B2" w:rsidP="004455F6">
      <w:pPr>
        <w:pStyle w:val="ListParagraph"/>
        <w:numPr>
          <w:ilvl w:val="0"/>
          <w:numId w:val="15"/>
        </w:numPr>
        <w:spacing w:after="120"/>
        <w:jc w:val="both"/>
      </w:pPr>
      <w:r>
        <w:t>The requisition will then be reassigned back to the Buying Team, who will convert the requisition into a purchase order, and email that</w:t>
      </w:r>
      <w:r w:rsidR="004455F6">
        <w:t xml:space="preserve"> purchase order to the supplier, unless the requisition is over £25,000 where the Category Manager will need to put an express contract in place, and send it with the purchase order to the supplier. </w:t>
      </w:r>
    </w:p>
    <w:p w:rsidR="00EB3165" w:rsidRPr="00BD405B" w:rsidRDefault="00EB3165" w:rsidP="004455F6">
      <w:pPr>
        <w:spacing w:after="120"/>
        <w:jc w:val="both"/>
      </w:pPr>
      <w:r>
        <w:t xml:space="preserve">If an existing supplier in Oracle requires amending, please complete this amendment form </w:t>
      </w:r>
      <w:r w:rsidRPr="00EB3165">
        <w:rPr>
          <w:color w:val="FF0000"/>
        </w:rPr>
        <w:t>(to be completed)</w:t>
      </w:r>
      <w:r>
        <w:t xml:space="preserve"> and send it to: </w:t>
      </w:r>
      <w:hyperlink r:id="rId9" w:history="1">
        <w:r w:rsidRPr="00CF6180">
          <w:rPr>
            <w:rStyle w:val="Hyperlink"/>
          </w:rPr>
          <w:t>NewSupplierRequest@contacts.bham.ac.uk</w:t>
        </w:r>
      </w:hyperlink>
      <w:r>
        <w:t xml:space="preserve"> accompanied by proof of the changes by the supplier.</w:t>
      </w:r>
    </w:p>
    <w:p w:rsidR="00EB3165" w:rsidRDefault="00EB3165" w:rsidP="004455F6">
      <w:pPr>
        <w:pStyle w:val="NoSpacing"/>
        <w:rPr>
          <w:b/>
        </w:rPr>
      </w:pPr>
      <w:r w:rsidRPr="004455F6">
        <w:rPr>
          <w:b/>
        </w:rPr>
        <w:t>Delivery Notes and Invoices</w:t>
      </w:r>
    </w:p>
    <w:p w:rsidR="004455F6" w:rsidRPr="004455F6" w:rsidRDefault="004455F6" w:rsidP="004455F6">
      <w:pPr>
        <w:pStyle w:val="NoSpacing"/>
        <w:rPr>
          <w:b/>
        </w:rPr>
      </w:pPr>
    </w:p>
    <w:p w:rsidR="00156F6B" w:rsidRPr="00156F6B" w:rsidRDefault="00156F6B" w:rsidP="004455F6">
      <w:pPr>
        <w:jc w:val="both"/>
      </w:pPr>
      <w:r w:rsidRPr="00156F6B">
        <w:t xml:space="preserve">Invoices should be sent to: </w:t>
      </w:r>
      <w:hyperlink r:id="rId10" w:history="1">
        <w:r w:rsidR="002E6313" w:rsidRPr="00852ED4">
          <w:rPr>
            <w:rStyle w:val="Hyperlink"/>
          </w:rPr>
          <w:t>AccountsPayable@contacts.bham.ac.uk</w:t>
        </w:r>
      </w:hyperlink>
      <w:r w:rsidR="002E6313">
        <w:t xml:space="preserve"> </w:t>
      </w:r>
    </w:p>
    <w:sectPr w:rsidR="00156F6B" w:rsidRPr="00156F6B" w:rsidSect="00C04465">
      <w:pgSz w:w="11907" w:h="16860"/>
      <w:pgMar w:top="800" w:right="560" w:bottom="709" w:left="74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4B" w:rsidRDefault="00803F4B" w:rsidP="006261EF">
      <w:pPr>
        <w:spacing w:after="0" w:line="240" w:lineRule="auto"/>
      </w:pPr>
      <w:r>
        <w:separator/>
      </w:r>
    </w:p>
  </w:endnote>
  <w:endnote w:type="continuationSeparator" w:id="0">
    <w:p w:rsidR="00803F4B" w:rsidRDefault="00803F4B" w:rsidP="0062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4B" w:rsidRDefault="00803F4B" w:rsidP="006261EF">
      <w:pPr>
        <w:spacing w:after="0" w:line="240" w:lineRule="auto"/>
      </w:pPr>
      <w:r>
        <w:separator/>
      </w:r>
    </w:p>
  </w:footnote>
  <w:footnote w:type="continuationSeparator" w:id="0">
    <w:p w:rsidR="00803F4B" w:rsidRDefault="00803F4B" w:rsidP="0062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921"/>
    <w:multiLevelType w:val="hybridMultilevel"/>
    <w:tmpl w:val="266072A0"/>
    <w:lvl w:ilvl="0" w:tplc="F828A144">
      <w:start w:val="1"/>
      <w:numFmt w:val="bullet"/>
      <w:lvlText w:val=""/>
      <w:lvlJc w:val="left"/>
      <w:pPr>
        <w:ind w:hanging="361"/>
      </w:pPr>
      <w:rPr>
        <w:rFonts w:ascii="Symbol" w:eastAsia="Symbol" w:hAnsi="Symbol" w:hint="default"/>
        <w:sz w:val="24"/>
        <w:szCs w:val="24"/>
      </w:rPr>
    </w:lvl>
    <w:lvl w:ilvl="1" w:tplc="573ADD00">
      <w:start w:val="1"/>
      <w:numFmt w:val="bullet"/>
      <w:lvlText w:val="•"/>
      <w:lvlJc w:val="left"/>
      <w:rPr>
        <w:rFonts w:hint="default"/>
      </w:rPr>
    </w:lvl>
    <w:lvl w:ilvl="2" w:tplc="02A61228">
      <w:start w:val="1"/>
      <w:numFmt w:val="bullet"/>
      <w:lvlText w:val="•"/>
      <w:lvlJc w:val="left"/>
      <w:rPr>
        <w:rFonts w:hint="default"/>
      </w:rPr>
    </w:lvl>
    <w:lvl w:ilvl="3" w:tplc="EABAA8FE">
      <w:start w:val="1"/>
      <w:numFmt w:val="bullet"/>
      <w:lvlText w:val="•"/>
      <w:lvlJc w:val="left"/>
      <w:rPr>
        <w:rFonts w:hint="default"/>
      </w:rPr>
    </w:lvl>
    <w:lvl w:ilvl="4" w:tplc="879C0D20">
      <w:start w:val="1"/>
      <w:numFmt w:val="bullet"/>
      <w:lvlText w:val="•"/>
      <w:lvlJc w:val="left"/>
      <w:rPr>
        <w:rFonts w:hint="default"/>
      </w:rPr>
    </w:lvl>
    <w:lvl w:ilvl="5" w:tplc="E564CD04">
      <w:start w:val="1"/>
      <w:numFmt w:val="bullet"/>
      <w:lvlText w:val="•"/>
      <w:lvlJc w:val="left"/>
      <w:rPr>
        <w:rFonts w:hint="default"/>
      </w:rPr>
    </w:lvl>
    <w:lvl w:ilvl="6" w:tplc="AE5EC50C">
      <w:start w:val="1"/>
      <w:numFmt w:val="bullet"/>
      <w:lvlText w:val="•"/>
      <w:lvlJc w:val="left"/>
      <w:rPr>
        <w:rFonts w:hint="default"/>
      </w:rPr>
    </w:lvl>
    <w:lvl w:ilvl="7" w:tplc="01DE2406">
      <w:start w:val="1"/>
      <w:numFmt w:val="bullet"/>
      <w:lvlText w:val="•"/>
      <w:lvlJc w:val="left"/>
      <w:rPr>
        <w:rFonts w:hint="default"/>
      </w:rPr>
    </w:lvl>
    <w:lvl w:ilvl="8" w:tplc="4D868BB8">
      <w:start w:val="1"/>
      <w:numFmt w:val="bullet"/>
      <w:lvlText w:val="•"/>
      <w:lvlJc w:val="left"/>
      <w:rPr>
        <w:rFonts w:hint="default"/>
      </w:rPr>
    </w:lvl>
  </w:abstractNum>
  <w:abstractNum w:abstractNumId="1" w15:restartNumberingAfterBreak="0">
    <w:nsid w:val="14791646"/>
    <w:multiLevelType w:val="hybridMultilevel"/>
    <w:tmpl w:val="6A6E5D38"/>
    <w:lvl w:ilvl="0" w:tplc="C79E89DE">
      <w:start w:val="1"/>
      <w:numFmt w:val="bullet"/>
      <w:lvlText w:val="o"/>
      <w:lvlJc w:val="left"/>
      <w:pPr>
        <w:ind w:hanging="361"/>
      </w:pPr>
      <w:rPr>
        <w:rFonts w:ascii="Courier New" w:eastAsia="Courier New" w:hAnsi="Courier New" w:hint="default"/>
        <w:sz w:val="24"/>
        <w:szCs w:val="24"/>
      </w:rPr>
    </w:lvl>
    <w:lvl w:ilvl="1" w:tplc="A6F8F348">
      <w:start w:val="1"/>
      <w:numFmt w:val="bullet"/>
      <w:lvlText w:val="•"/>
      <w:lvlJc w:val="left"/>
      <w:rPr>
        <w:rFonts w:hint="default"/>
      </w:rPr>
    </w:lvl>
    <w:lvl w:ilvl="2" w:tplc="B726AF2C">
      <w:start w:val="1"/>
      <w:numFmt w:val="bullet"/>
      <w:lvlText w:val="•"/>
      <w:lvlJc w:val="left"/>
      <w:rPr>
        <w:rFonts w:hint="default"/>
      </w:rPr>
    </w:lvl>
    <w:lvl w:ilvl="3" w:tplc="BC92A74E">
      <w:start w:val="1"/>
      <w:numFmt w:val="bullet"/>
      <w:lvlText w:val="•"/>
      <w:lvlJc w:val="left"/>
      <w:rPr>
        <w:rFonts w:hint="default"/>
      </w:rPr>
    </w:lvl>
    <w:lvl w:ilvl="4" w:tplc="CEC02BF2">
      <w:start w:val="1"/>
      <w:numFmt w:val="bullet"/>
      <w:lvlText w:val="•"/>
      <w:lvlJc w:val="left"/>
      <w:rPr>
        <w:rFonts w:hint="default"/>
      </w:rPr>
    </w:lvl>
    <w:lvl w:ilvl="5" w:tplc="5A3649FE">
      <w:start w:val="1"/>
      <w:numFmt w:val="bullet"/>
      <w:lvlText w:val="•"/>
      <w:lvlJc w:val="left"/>
      <w:rPr>
        <w:rFonts w:hint="default"/>
      </w:rPr>
    </w:lvl>
    <w:lvl w:ilvl="6" w:tplc="22880D7E">
      <w:start w:val="1"/>
      <w:numFmt w:val="bullet"/>
      <w:lvlText w:val="•"/>
      <w:lvlJc w:val="left"/>
      <w:rPr>
        <w:rFonts w:hint="default"/>
      </w:rPr>
    </w:lvl>
    <w:lvl w:ilvl="7" w:tplc="DCBA67C6">
      <w:start w:val="1"/>
      <w:numFmt w:val="bullet"/>
      <w:lvlText w:val="•"/>
      <w:lvlJc w:val="left"/>
      <w:rPr>
        <w:rFonts w:hint="default"/>
      </w:rPr>
    </w:lvl>
    <w:lvl w:ilvl="8" w:tplc="A1E2D7E4">
      <w:start w:val="1"/>
      <w:numFmt w:val="bullet"/>
      <w:lvlText w:val="•"/>
      <w:lvlJc w:val="left"/>
      <w:rPr>
        <w:rFonts w:hint="default"/>
      </w:rPr>
    </w:lvl>
  </w:abstractNum>
  <w:abstractNum w:abstractNumId="2" w15:restartNumberingAfterBreak="0">
    <w:nsid w:val="27232778"/>
    <w:multiLevelType w:val="hybridMultilevel"/>
    <w:tmpl w:val="B3AC8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D556D"/>
    <w:multiLevelType w:val="hybridMultilevel"/>
    <w:tmpl w:val="EFBEE7CE"/>
    <w:lvl w:ilvl="0" w:tplc="700AA9D2">
      <w:start w:val="1"/>
      <w:numFmt w:val="bullet"/>
      <w:lvlText w:val="o"/>
      <w:lvlJc w:val="left"/>
      <w:pPr>
        <w:ind w:hanging="360"/>
      </w:pPr>
      <w:rPr>
        <w:rFonts w:ascii="Courier New" w:eastAsia="Courier New" w:hAnsi="Courier New" w:hint="default"/>
        <w:sz w:val="24"/>
        <w:szCs w:val="24"/>
      </w:rPr>
    </w:lvl>
    <w:lvl w:ilvl="1" w:tplc="752CB7B8">
      <w:start w:val="1"/>
      <w:numFmt w:val="bullet"/>
      <w:lvlText w:val="•"/>
      <w:lvlJc w:val="left"/>
      <w:rPr>
        <w:rFonts w:hint="default"/>
      </w:rPr>
    </w:lvl>
    <w:lvl w:ilvl="2" w:tplc="A9B86CB4">
      <w:start w:val="1"/>
      <w:numFmt w:val="bullet"/>
      <w:lvlText w:val="•"/>
      <w:lvlJc w:val="left"/>
      <w:rPr>
        <w:rFonts w:hint="default"/>
      </w:rPr>
    </w:lvl>
    <w:lvl w:ilvl="3" w:tplc="BAE45ED0">
      <w:start w:val="1"/>
      <w:numFmt w:val="bullet"/>
      <w:lvlText w:val="•"/>
      <w:lvlJc w:val="left"/>
      <w:rPr>
        <w:rFonts w:hint="default"/>
      </w:rPr>
    </w:lvl>
    <w:lvl w:ilvl="4" w:tplc="D5F26798">
      <w:start w:val="1"/>
      <w:numFmt w:val="bullet"/>
      <w:lvlText w:val="•"/>
      <w:lvlJc w:val="left"/>
      <w:rPr>
        <w:rFonts w:hint="default"/>
      </w:rPr>
    </w:lvl>
    <w:lvl w:ilvl="5" w:tplc="A9B40DE6">
      <w:start w:val="1"/>
      <w:numFmt w:val="bullet"/>
      <w:lvlText w:val="•"/>
      <w:lvlJc w:val="left"/>
      <w:rPr>
        <w:rFonts w:hint="default"/>
      </w:rPr>
    </w:lvl>
    <w:lvl w:ilvl="6" w:tplc="8F146A70">
      <w:start w:val="1"/>
      <w:numFmt w:val="bullet"/>
      <w:lvlText w:val="•"/>
      <w:lvlJc w:val="left"/>
      <w:rPr>
        <w:rFonts w:hint="default"/>
      </w:rPr>
    </w:lvl>
    <w:lvl w:ilvl="7" w:tplc="D3641D80">
      <w:start w:val="1"/>
      <w:numFmt w:val="bullet"/>
      <w:lvlText w:val="•"/>
      <w:lvlJc w:val="left"/>
      <w:rPr>
        <w:rFonts w:hint="default"/>
      </w:rPr>
    </w:lvl>
    <w:lvl w:ilvl="8" w:tplc="F7CE3C30">
      <w:start w:val="1"/>
      <w:numFmt w:val="bullet"/>
      <w:lvlText w:val="•"/>
      <w:lvlJc w:val="left"/>
      <w:rPr>
        <w:rFonts w:hint="default"/>
      </w:rPr>
    </w:lvl>
  </w:abstractNum>
  <w:abstractNum w:abstractNumId="4" w15:restartNumberingAfterBreak="0">
    <w:nsid w:val="379A5A1D"/>
    <w:multiLevelType w:val="hybridMultilevel"/>
    <w:tmpl w:val="BFE8C13A"/>
    <w:lvl w:ilvl="0" w:tplc="41247CEC">
      <w:start w:val="1"/>
      <w:numFmt w:val="lowerLetter"/>
      <w:lvlText w:val="(%1)"/>
      <w:lvlJc w:val="left"/>
      <w:pPr>
        <w:ind w:hanging="360"/>
      </w:pPr>
      <w:rPr>
        <w:rFonts w:ascii="Calibri" w:eastAsia="Calibri" w:hAnsi="Calibri" w:hint="default"/>
        <w:i/>
        <w:spacing w:val="-1"/>
        <w:sz w:val="24"/>
        <w:szCs w:val="24"/>
      </w:rPr>
    </w:lvl>
    <w:lvl w:ilvl="1" w:tplc="0B28704C">
      <w:start w:val="1"/>
      <w:numFmt w:val="bullet"/>
      <w:lvlText w:val="•"/>
      <w:lvlJc w:val="left"/>
      <w:rPr>
        <w:rFonts w:hint="default"/>
      </w:rPr>
    </w:lvl>
    <w:lvl w:ilvl="2" w:tplc="9676A898">
      <w:start w:val="1"/>
      <w:numFmt w:val="bullet"/>
      <w:lvlText w:val="•"/>
      <w:lvlJc w:val="left"/>
      <w:rPr>
        <w:rFonts w:hint="default"/>
      </w:rPr>
    </w:lvl>
    <w:lvl w:ilvl="3" w:tplc="6E4E409E">
      <w:start w:val="1"/>
      <w:numFmt w:val="bullet"/>
      <w:lvlText w:val="•"/>
      <w:lvlJc w:val="left"/>
      <w:rPr>
        <w:rFonts w:hint="default"/>
      </w:rPr>
    </w:lvl>
    <w:lvl w:ilvl="4" w:tplc="57FCD754">
      <w:start w:val="1"/>
      <w:numFmt w:val="bullet"/>
      <w:lvlText w:val="•"/>
      <w:lvlJc w:val="left"/>
      <w:rPr>
        <w:rFonts w:hint="default"/>
      </w:rPr>
    </w:lvl>
    <w:lvl w:ilvl="5" w:tplc="2AD8F1D6">
      <w:start w:val="1"/>
      <w:numFmt w:val="bullet"/>
      <w:lvlText w:val="•"/>
      <w:lvlJc w:val="left"/>
      <w:rPr>
        <w:rFonts w:hint="default"/>
      </w:rPr>
    </w:lvl>
    <w:lvl w:ilvl="6" w:tplc="4C860912">
      <w:start w:val="1"/>
      <w:numFmt w:val="bullet"/>
      <w:lvlText w:val="•"/>
      <w:lvlJc w:val="left"/>
      <w:rPr>
        <w:rFonts w:hint="default"/>
      </w:rPr>
    </w:lvl>
    <w:lvl w:ilvl="7" w:tplc="3C8AF410">
      <w:start w:val="1"/>
      <w:numFmt w:val="bullet"/>
      <w:lvlText w:val="•"/>
      <w:lvlJc w:val="left"/>
      <w:rPr>
        <w:rFonts w:hint="default"/>
      </w:rPr>
    </w:lvl>
    <w:lvl w:ilvl="8" w:tplc="9EF483B2">
      <w:start w:val="1"/>
      <w:numFmt w:val="bullet"/>
      <w:lvlText w:val="•"/>
      <w:lvlJc w:val="left"/>
      <w:rPr>
        <w:rFonts w:hint="default"/>
      </w:rPr>
    </w:lvl>
  </w:abstractNum>
  <w:abstractNum w:abstractNumId="5" w15:restartNumberingAfterBreak="0">
    <w:nsid w:val="395D5D55"/>
    <w:multiLevelType w:val="hybridMultilevel"/>
    <w:tmpl w:val="A866E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7C0E9C"/>
    <w:multiLevelType w:val="hybridMultilevel"/>
    <w:tmpl w:val="6E02CACE"/>
    <w:lvl w:ilvl="0" w:tplc="F32A2DF6">
      <w:start w:val="1"/>
      <w:numFmt w:val="decimal"/>
      <w:lvlText w:val="%1."/>
      <w:lvlJc w:val="left"/>
      <w:pPr>
        <w:ind w:hanging="721"/>
      </w:pPr>
      <w:rPr>
        <w:rFonts w:ascii="Calibri" w:eastAsia="Calibri" w:hAnsi="Calibri" w:hint="default"/>
        <w:sz w:val="24"/>
        <w:szCs w:val="24"/>
      </w:rPr>
    </w:lvl>
    <w:lvl w:ilvl="1" w:tplc="A7FA97A4">
      <w:start w:val="1"/>
      <w:numFmt w:val="bullet"/>
      <w:lvlText w:val="•"/>
      <w:lvlJc w:val="left"/>
      <w:rPr>
        <w:rFonts w:hint="default"/>
      </w:rPr>
    </w:lvl>
    <w:lvl w:ilvl="2" w:tplc="0658D334">
      <w:start w:val="1"/>
      <w:numFmt w:val="bullet"/>
      <w:lvlText w:val="•"/>
      <w:lvlJc w:val="left"/>
      <w:rPr>
        <w:rFonts w:hint="default"/>
      </w:rPr>
    </w:lvl>
    <w:lvl w:ilvl="3" w:tplc="09D0F4D8">
      <w:start w:val="1"/>
      <w:numFmt w:val="bullet"/>
      <w:lvlText w:val="•"/>
      <w:lvlJc w:val="left"/>
      <w:rPr>
        <w:rFonts w:hint="default"/>
      </w:rPr>
    </w:lvl>
    <w:lvl w:ilvl="4" w:tplc="98F8F11C">
      <w:start w:val="1"/>
      <w:numFmt w:val="bullet"/>
      <w:lvlText w:val="•"/>
      <w:lvlJc w:val="left"/>
      <w:rPr>
        <w:rFonts w:hint="default"/>
      </w:rPr>
    </w:lvl>
    <w:lvl w:ilvl="5" w:tplc="897021EC">
      <w:start w:val="1"/>
      <w:numFmt w:val="bullet"/>
      <w:lvlText w:val="•"/>
      <w:lvlJc w:val="left"/>
      <w:rPr>
        <w:rFonts w:hint="default"/>
      </w:rPr>
    </w:lvl>
    <w:lvl w:ilvl="6" w:tplc="E6BAFCE4">
      <w:start w:val="1"/>
      <w:numFmt w:val="bullet"/>
      <w:lvlText w:val="•"/>
      <w:lvlJc w:val="left"/>
      <w:rPr>
        <w:rFonts w:hint="default"/>
      </w:rPr>
    </w:lvl>
    <w:lvl w:ilvl="7" w:tplc="6A9C4C20">
      <w:start w:val="1"/>
      <w:numFmt w:val="bullet"/>
      <w:lvlText w:val="•"/>
      <w:lvlJc w:val="left"/>
      <w:rPr>
        <w:rFonts w:hint="default"/>
      </w:rPr>
    </w:lvl>
    <w:lvl w:ilvl="8" w:tplc="CD62C43C">
      <w:start w:val="1"/>
      <w:numFmt w:val="bullet"/>
      <w:lvlText w:val="•"/>
      <w:lvlJc w:val="left"/>
      <w:rPr>
        <w:rFonts w:hint="default"/>
      </w:rPr>
    </w:lvl>
  </w:abstractNum>
  <w:abstractNum w:abstractNumId="7" w15:restartNumberingAfterBreak="0">
    <w:nsid w:val="5E7277F1"/>
    <w:multiLevelType w:val="hybridMultilevel"/>
    <w:tmpl w:val="4E903DC8"/>
    <w:lvl w:ilvl="0" w:tplc="A71C77E0">
      <w:start w:val="1"/>
      <w:numFmt w:val="decimal"/>
      <w:lvlText w:val="%1."/>
      <w:lvlJc w:val="left"/>
      <w:pPr>
        <w:ind w:hanging="360"/>
      </w:pPr>
      <w:rPr>
        <w:rFonts w:ascii="Calibri" w:eastAsia="Calibri" w:hAnsi="Calibri" w:hint="default"/>
        <w:b/>
        <w:bCs/>
        <w:w w:val="99"/>
        <w:sz w:val="24"/>
        <w:szCs w:val="24"/>
      </w:rPr>
    </w:lvl>
    <w:lvl w:ilvl="1" w:tplc="2BEE95B4">
      <w:start w:val="1"/>
      <w:numFmt w:val="bullet"/>
      <w:lvlText w:val=""/>
      <w:lvlJc w:val="left"/>
      <w:pPr>
        <w:ind w:hanging="361"/>
      </w:pPr>
      <w:rPr>
        <w:rFonts w:ascii="Symbol" w:eastAsia="Symbol" w:hAnsi="Symbol" w:hint="default"/>
        <w:sz w:val="24"/>
        <w:szCs w:val="24"/>
      </w:rPr>
    </w:lvl>
    <w:lvl w:ilvl="2" w:tplc="925C3C2E">
      <w:start w:val="1"/>
      <w:numFmt w:val="bullet"/>
      <w:lvlText w:val="•"/>
      <w:lvlJc w:val="left"/>
      <w:rPr>
        <w:rFonts w:hint="default"/>
      </w:rPr>
    </w:lvl>
    <w:lvl w:ilvl="3" w:tplc="454E3B38">
      <w:start w:val="1"/>
      <w:numFmt w:val="bullet"/>
      <w:lvlText w:val="•"/>
      <w:lvlJc w:val="left"/>
      <w:rPr>
        <w:rFonts w:hint="default"/>
      </w:rPr>
    </w:lvl>
    <w:lvl w:ilvl="4" w:tplc="339E8B64">
      <w:start w:val="1"/>
      <w:numFmt w:val="bullet"/>
      <w:lvlText w:val="•"/>
      <w:lvlJc w:val="left"/>
      <w:rPr>
        <w:rFonts w:hint="default"/>
      </w:rPr>
    </w:lvl>
    <w:lvl w:ilvl="5" w:tplc="03EA899A">
      <w:start w:val="1"/>
      <w:numFmt w:val="bullet"/>
      <w:lvlText w:val="•"/>
      <w:lvlJc w:val="left"/>
      <w:rPr>
        <w:rFonts w:hint="default"/>
      </w:rPr>
    </w:lvl>
    <w:lvl w:ilvl="6" w:tplc="7E589E9E">
      <w:start w:val="1"/>
      <w:numFmt w:val="bullet"/>
      <w:lvlText w:val="•"/>
      <w:lvlJc w:val="left"/>
      <w:rPr>
        <w:rFonts w:hint="default"/>
      </w:rPr>
    </w:lvl>
    <w:lvl w:ilvl="7" w:tplc="A7365F3E">
      <w:start w:val="1"/>
      <w:numFmt w:val="bullet"/>
      <w:lvlText w:val="•"/>
      <w:lvlJc w:val="left"/>
      <w:rPr>
        <w:rFonts w:hint="default"/>
      </w:rPr>
    </w:lvl>
    <w:lvl w:ilvl="8" w:tplc="296C7C46">
      <w:start w:val="1"/>
      <w:numFmt w:val="bullet"/>
      <w:lvlText w:val="•"/>
      <w:lvlJc w:val="left"/>
      <w:rPr>
        <w:rFonts w:hint="default"/>
      </w:rPr>
    </w:lvl>
  </w:abstractNum>
  <w:abstractNum w:abstractNumId="8" w15:restartNumberingAfterBreak="0">
    <w:nsid w:val="5F6278BF"/>
    <w:multiLevelType w:val="hybridMultilevel"/>
    <w:tmpl w:val="14A8B402"/>
    <w:lvl w:ilvl="0" w:tplc="65F4DC72">
      <w:start w:val="1"/>
      <w:numFmt w:val="bullet"/>
      <w:lvlText w:val=""/>
      <w:lvlJc w:val="left"/>
      <w:pPr>
        <w:ind w:hanging="707"/>
      </w:pPr>
      <w:rPr>
        <w:rFonts w:ascii="Symbol" w:eastAsia="Symbol" w:hAnsi="Symbol" w:hint="default"/>
        <w:sz w:val="24"/>
        <w:szCs w:val="24"/>
      </w:rPr>
    </w:lvl>
    <w:lvl w:ilvl="1" w:tplc="B0764CD4">
      <w:start w:val="1"/>
      <w:numFmt w:val="bullet"/>
      <w:lvlText w:val="•"/>
      <w:lvlJc w:val="left"/>
      <w:rPr>
        <w:rFonts w:hint="default"/>
      </w:rPr>
    </w:lvl>
    <w:lvl w:ilvl="2" w:tplc="EFF2DE58">
      <w:start w:val="1"/>
      <w:numFmt w:val="bullet"/>
      <w:lvlText w:val="•"/>
      <w:lvlJc w:val="left"/>
      <w:rPr>
        <w:rFonts w:hint="default"/>
      </w:rPr>
    </w:lvl>
    <w:lvl w:ilvl="3" w:tplc="5142A14C">
      <w:start w:val="1"/>
      <w:numFmt w:val="bullet"/>
      <w:lvlText w:val="•"/>
      <w:lvlJc w:val="left"/>
      <w:rPr>
        <w:rFonts w:hint="default"/>
      </w:rPr>
    </w:lvl>
    <w:lvl w:ilvl="4" w:tplc="7EF292B0">
      <w:start w:val="1"/>
      <w:numFmt w:val="bullet"/>
      <w:lvlText w:val="•"/>
      <w:lvlJc w:val="left"/>
      <w:rPr>
        <w:rFonts w:hint="default"/>
      </w:rPr>
    </w:lvl>
    <w:lvl w:ilvl="5" w:tplc="0B54029C">
      <w:start w:val="1"/>
      <w:numFmt w:val="bullet"/>
      <w:lvlText w:val="•"/>
      <w:lvlJc w:val="left"/>
      <w:rPr>
        <w:rFonts w:hint="default"/>
      </w:rPr>
    </w:lvl>
    <w:lvl w:ilvl="6" w:tplc="965AA524">
      <w:start w:val="1"/>
      <w:numFmt w:val="bullet"/>
      <w:lvlText w:val="•"/>
      <w:lvlJc w:val="left"/>
      <w:rPr>
        <w:rFonts w:hint="default"/>
      </w:rPr>
    </w:lvl>
    <w:lvl w:ilvl="7" w:tplc="BE86C410">
      <w:start w:val="1"/>
      <w:numFmt w:val="bullet"/>
      <w:lvlText w:val="•"/>
      <w:lvlJc w:val="left"/>
      <w:rPr>
        <w:rFonts w:hint="default"/>
      </w:rPr>
    </w:lvl>
    <w:lvl w:ilvl="8" w:tplc="52C4863A">
      <w:start w:val="1"/>
      <w:numFmt w:val="bullet"/>
      <w:lvlText w:val="•"/>
      <w:lvlJc w:val="left"/>
      <w:rPr>
        <w:rFonts w:hint="default"/>
      </w:rPr>
    </w:lvl>
  </w:abstractNum>
  <w:abstractNum w:abstractNumId="9" w15:restartNumberingAfterBreak="0">
    <w:nsid w:val="653918EA"/>
    <w:multiLevelType w:val="hybridMultilevel"/>
    <w:tmpl w:val="EB025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278EE"/>
    <w:multiLevelType w:val="hybridMultilevel"/>
    <w:tmpl w:val="15A82786"/>
    <w:lvl w:ilvl="0" w:tplc="8C700864">
      <w:start w:val="1"/>
      <w:numFmt w:val="bullet"/>
      <w:lvlText w:val=""/>
      <w:lvlJc w:val="left"/>
      <w:pPr>
        <w:ind w:hanging="361"/>
      </w:pPr>
      <w:rPr>
        <w:rFonts w:ascii="Symbol" w:eastAsia="Symbol" w:hAnsi="Symbol" w:hint="default"/>
        <w:sz w:val="24"/>
        <w:szCs w:val="24"/>
      </w:rPr>
    </w:lvl>
    <w:lvl w:ilvl="1" w:tplc="203AC834">
      <w:start w:val="1"/>
      <w:numFmt w:val="bullet"/>
      <w:lvlText w:val="•"/>
      <w:lvlJc w:val="left"/>
      <w:rPr>
        <w:rFonts w:hint="default"/>
      </w:rPr>
    </w:lvl>
    <w:lvl w:ilvl="2" w:tplc="FC54BC94">
      <w:start w:val="1"/>
      <w:numFmt w:val="bullet"/>
      <w:lvlText w:val="•"/>
      <w:lvlJc w:val="left"/>
      <w:rPr>
        <w:rFonts w:hint="default"/>
      </w:rPr>
    </w:lvl>
    <w:lvl w:ilvl="3" w:tplc="268E653E">
      <w:start w:val="1"/>
      <w:numFmt w:val="bullet"/>
      <w:lvlText w:val="•"/>
      <w:lvlJc w:val="left"/>
      <w:rPr>
        <w:rFonts w:hint="default"/>
      </w:rPr>
    </w:lvl>
    <w:lvl w:ilvl="4" w:tplc="68A2A65A">
      <w:start w:val="1"/>
      <w:numFmt w:val="bullet"/>
      <w:lvlText w:val="•"/>
      <w:lvlJc w:val="left"/>
      <w:rPr>
        <w:rFonts w:hint="default"/>
      </w:rPr>
    </w:lvl>
    <w:lvl w:ilvl="5" w:tplc="6F2C4914">
      <w:start w:val="1"/>
      <w:numFmt w:val="bullet"/>
      <w:lvlText w:val="•"/>
      <w:lvlJc w:val="left"/>
      <w:rPr>
        <w:rFonts w:hint="default"/>
      </w:rPr>
    </w:lvl>
    <w:lvl w:ilvl="6" w:tplc="D5501B4E">
      <w:start w:val="1"/>
      <w:numFmt w:val="bullet"/>
      <w:lvlText w:val="•"/>
      <w:lvlJc w:val="left"/>
      <w:rPr>
        <w:rFonts w:hint="default"/>
      </w:rPr>
    </w:lvl>
    <w:lvl w:ilvl="7" w:tplc="F7C86E5A">
      <w:start w:val="1"/>
      <w:numFmt w:val="bullet"/>
      <w:lvlText w:val="•"/>
      <w:lvlJc w:val="left"/>
      <w:rPr>
        <w:rFonts w:hint="default"/>
      </w:rPr>
    </w:lvl>
    <w:lvl w:ilvl="8" w:tplc="CD745040">
      <w:start w:val="1"/>
      <w:numFmt w:val="bullet"/>
      <w:lvlText w:val="•"/>
      <w:lvlJc w:val="left"/>
      <w:rPr>
        <w:rFonts w:hint="default"/>
      </w:rPr>
    </w:lvl>
  </w:abstractNum>
  <w:abstractNum w:abstractNumId="11" w15:restartNumberingAfterBreak="0">
    <w:nsid w:val="7B286FDC"/>
    <w:multiLevelType w:val="hybridMultilevel"/>
    <w:tmpl w:val="4222910A"/>
    <w:lvl w:ilvl="0" w:tplc="B8E481FA">
      <w:start w:val="1"/>
      <w:numFmt w:val="lowerLetter"/>
      <w:lvlText w:val="(%1)"/>
      <w:lvlJc w:val="left"/>
      <w:pPr>
        <w:ind w:hanging="428"/>
      </w:pPr>
      <w:rPr>
        <w:rFonts w:ascii="Calibri" w:eastAsia="Calibri" w:hAnsi="Calibri" w:hint="default"/>
        <w:spacing w:val="-1"/>
        <w:sz w:val="24"/>
        <w:szCs w:val="24"/>
      </w:rPr>
    </w:lvl>
    <w:lvl w:ilvl="1" w:tplc="C8B0A906">
      <w:start w:val="1"/>
      <w:numFmt w:val="bullet"/>
      <w:lvlText w:val="•"/>
      <w:lvlJc w:val="left"/>
      <w:rPr>
        <w:rFonts w:hint="default"/>
      </w:rPr>
    </w:lvl>
    <w:lvl w:ilvl="2" w:tplc="EF58A12C">
      <w:start w:val="1"/>
      <w:numFmt w:val="bullet"/>
      <w:lvlText w:val="•"/>
      <w:lvlJc w:val="left"/>
      <w:rPr>
        <w:rFonts w:hint="default"/>
      </w:rPr>
    </w:lvl>
    <w:lvl w:ilvl="3" w:tplc="9D7AB724">
      <w:start w:val="1"/>
      <w:numFmt w:val="bullet"/>
      <w:lvlText w:val="•"/>
      <w:lvlJc w:val="left"/>
      <w:rPr>
        <w:rFonts w:hint="default"/>
      </w:rPr>
    </w:lvl>
    <w:lvl w:ilvl="4" w:tplc="84DC517C">
      <w:start w:val="1"/>
      <w:numFmt w:val="bullet"/>
      <w:lvlText w:val="•"/>
      <w:lvlJc w:val="left"/>
      <w:rPr>
        <w:rFonts w:hint="default"/>
      </w:rPr>
    </w:lvl>
    <w:lvl w:ilvl="5" w:tplc="547EF64A">
      <w:start w:val="1"/>
      <w:numFmt w:val="bullet"/>
      <w:lvlText w:val="•"/>
      <w:lvlJc w:val="left"/>
      <w:rPr>
        <w:rFonts w:hint="default"/>
      </w:rPr>
    </w:lvl>
    <w:lvl w:ilvl="6" w:tplc="17C2D162">
      <w:start w:val="1"/>
      <w:numFmt w:val="bullet"/>
      <w:lvlText w:val="•"/>
      <w:lvlJc w:val="left"/>
      <w:rPr>
        <w:rFonts w:hint="default"/>
      </w:rPr>
    </w:lvl>
    <w:lvl w:ilvl="7" w:tplc="23409AA0">
      <w:start w:val="1"/>
      <w:numFmt w:val="bullet"/>
      <w:lvlText w:val="•"/>
      <w:lvlJc w:val="left"/>
      <w:rPr>
        <w:rFonts w:hint="default"/>
      </w:rPr>
    </w:lvl>
    <w:lvl w:ilvl="8" w:tplc="59D84D3A">
      <w:start w:val="1"/>
      <w:numFmt w:val="bullet"/>
      <w:lvlText w:val="•"/>
      <w:lvlJc w:val="left"/>
      <w:rPr>
        <w:rFonts w:hint="default"/>
      </w:rPr>
    </w:lvl>
  </w:abstractNum>
  <w:abstractNum w:abstractNumId="12" w15:restartNumberingAfterBreak="0">
    <w:nsid w:val="7D6018CC"/>
    <w:multiLevelType w:val="hybridMultilevel"/>
    <w:tmpl w:val="E6B8BC00"/>
    <w:lvl w:ilvl="0" w:tplc="E9667D8C">
      <w:start w:val="4"/>
      <w:numFmt w:val="decimal"/>
      <w:lvlText w:val="%1."/>
      <w:lvlJc w:val="left"/>
      <w:pPr>
        <w:ind w:hanging="360"/>
      </w:pPr>
      <w:rPr>
        <w:rFonts w:ascii="Calibri" w:eastAsia="Calibri" w:hAnsi="Calibri" w:hint="default"/>
        <w:b/>
        <w:bCs/>
        <w:w w:val="99"/>
        <w:sz w:val="24"/>
        <w:szCs w:val="24"/>
      </w:rPr>
    </w:lvl>
    <w:lvl w:ilvl="1" w:tplc="E60CEBA0">
      <w:start w:val="1"/>
      <w:numFmt w:val="bullet"/>
      <w:lvlText w:val=""/>
      <w:lvlJc w:val="left"/>
      <w:pPr>
        <w:ind w:hanging="361"/>
      </w:pPr>
      <w:rPr>
        <w:rFonts w:ascii="Symbol" w:eastAsia="Symbol" w:hAnsi="Symbol" w:hint="default"/>
        <w:sz w:val="24"/>
        <w:szCs w:val="24"/>
      </w:rPr>
    </w:lvl>
    <w:lvl w:ilvl="2" w:tplc="E31EAF52">
      <w:start w:val="1"/>
      <w:numFmt w:val="bullet"/>
      <w:lvlText w:val="o"/>
      <w:lvlJc w:val="left"/>
      <w:pPr>
        <w:ind w:hanging="360"/>
      </w:pPr>
      <w:rPr>
        <w:rFonts w:ascii="Courier New" w:eastAsia="Courier New" w:hAnsi="Courier New" w:hint="default"/>
        <w:sz w:val="24"/>
        <w:szCs w:val="24"/>
      </w:rPr>
    </w:lvl>
    <w:lvl w:ilvl="3" w:tplc="7FECFC44">
      <w:start w:val="1"/>
      <w:numFmt w:val="bullet"/>
      <w:lvlText w:val=""/>
      <w:lvlJc w:val="left"/>
      <w:pPr>
        <w:ind w:hanging="360"/>
      </w:pPr>
      <w:rPr>
        <w:rFonts w:ascii="Wingdings" w:eastAsia="Wingdings" w:hAnsi="Wingdings" w:hint="default"/>
        <w:sz w:val="24"/>
        <w:szCs w:val="24"/>
      </w:rPr>
    </w:lvl>
    <w:lvl w:ilvl="4" w:tplc="6A803CE4">
      <w:start w:val="1"/>
      <w:numFmt w:val="bullet"/>
      <w:lvlText w:val="•"/>
      <w:lvlJc w:val="left"/>
      <w:rPr>
        <w:rFonts w:hint="default"/>
      </w:rPr>
    </w:lvl>
    <w:lvl w:ilvl="5" w:tplc="75A25308">
      <w:start w:val="1"/>
      <w:numFmt w:val="bullet"/>
      <w:lvlText w:val="•"/>
      <w:lvlJc w:val="left"/>
      <w:rPr>
        <w:rFonts w:hint="default"/>
      </w:rPr>
    </w:lvl>
    <w:lvl w:ilvl="6" w:tplc="D9C4D2FC">
      <w:start w:val="1"/>
      <w:numFmt w:val="bullet"/>
      <w:lvlText w:val="•"/>
      <w:lvlJc w:val="left"/>
      <w:rPr>
        <w:rFonts w:hint="default"/>
      </w:rPr>
    </w:lvl>
    <w:lvl w:ilvl="7" w:tplc="A46665A8">
      <w:start w:val="1"/>
      <w:numFmt w:val="bullet"/>
      <w:lvlText w:val="•"/>
      <w:lvlJc w:val="left"/>
      <w:rPr>
        <w:rFonts w:hint="default"/>
      </w:rPr>
    </w:lvl>
    <w:lvl w:ilvl="8" w:tplc="500A1C66">
      <w:start w:val="1"/>
      <w:numFmt w:val="bullet"/>
      <w:lvlText w:val="•"/>
      <w:lvlJc w:val="left"/>
      <w:rPr>
        <w:rFonts w:hint="default"/>
      </w:rPr>
    </w:lvl>
  </w:abstractNum>
  <w:abstractNum w:abstractNumId="13" w15:restartNumberingAfterBreak="0">
    <w:nsid w:val="7EDD3EB0"/>
    <w:multiLevelType w:val="hybridMultilevel"/>
    <w:tmpl w:val="71009D20"/>
    <w:lvl w:ilvl="0" w:tplc="682E420E">
      <w:start w:val="1"/>
      <w:numFmt w:val="lowerLetter"/>
      <w:lvlText w:val="(%1)"/>
      <w:lvlJc w:val="left"/>
      <w:pPr>
        <w:ind w:hanging="360"/>
      </w:pPr>
      <w:rPr>
        <w:rFonts w:ascii="Calibri" w:eastAsia="Calibri" w:hAnsi="Calibri" w:hint="default"/>
        <w:spacing w:val="-1"/>
        <w:sz w:val="24"/>
        <w:szCs w:val="24"/>
      </w:rPr>
    </w:lvl>
    <w:lvl w:ilvl="1" w:tplc="78501D28">
      <w:start w:val="1"/>
      <w:numFmt w:val="bullet"/>
      <w:lvlText w:val="•"/>
      <w:lvlJc w:val="left"/>
      <w:rPr>
        <w:rFonts w:hint="default"/>
      </w:rPr>
    </w:lvl>
    <w:lvl w:ilvl="2" w:tplc="FC1EC81E">
      <w:start w:val="1"/>
      <w:numFmt w:val="bullet"/>
      <w:lvlText w:val="•"/>
      <w:lvlJc w:val="left"/>
      <w:rPr>
        <w:rFonts w:hint="default"/>
      </w:rPr>
    </w:lvl>
    <w:lvl w:ilvl="3" w:tplc="AE86E5B2">
      <w:start w:val="1"/>
      <w:numFmt w:val="bullet"/>
      <w:lvlText w:val="•"/>
      <w:lvlJc w:val="left"/>
      <w:rPr>
        <w:rFonts w:hint="default"/>
      </w:rPr>
    </w:lvl>
    <w:lvl w:ilvl="4" w:tplc="66BCCBAC">
      <w:start w:val="1"/>
      <w:numFmt w:val="bullet"/>
      <w:lvlText w:val="•"/>
      <w:lvlJc w:val="left"/>
      <w:rPr>
        <w:rFonts w:hint="default"/>
      </w:rPr>
    </w:lvl>
    <w:lvl w:ilvl="5" w:tplc="410A7D80">
      <w:start w:val="1"/>
      <w:numFmt w:val="bullet"/>
      <w:lvlText w:val="•"/>
      <w:lvlJc w:val="left"/>
      <w:rPr>
        <w:rFonts w:hint="default"/>
      </w:rPr>
    </w:lvl>
    <w:lvl w:ilvl="6" w:tplc="F99EA714">
      <w:start w:val="1"/>
      <w:numFmt w:val="bullet"/>
      <w:lvlText w:val="•"/>
      <w:lvlJc w:val="left"/>
      <w:rPr>
        <w:rFonts w:hint="default"/>
      </w:rPr>
    </w:lvl>
    <w:lvl w:ilvl="7" w:tplc="1708EFEC">
      <w:start w:val="1"/>
      <w:numFmt w:val="bullet"/>
      <w:lvlText w:val="•"/>
      <w:lvlJc w:val="left"/>
      <w:rPr>
        <w:rFonts w:hint="default"/>
      </w:rPr>
    </w:lvl>
    <w:lvl w:ilvl="8" w:tplc="E07A4C42">
      <w:start w:val="1"/>
      <w:numFmt w:val="bullet"/>
      <w:lvlText w:val="•"/>
      <w:lvlJc w:val="left"/>
      <w:rPr>
        <w:rFonts w:hint="default"/>
      </w:rPr>
    </w:lvl>
  </w:abstractNum>
  <w:num w:numId="1">
    <w:abstractNumId w:val="3"/>
  </w:num>
  <w:num w:numId="2">
    <w:abstractNumId w:val="4"/>
  </w:num>
  <w:num w:numId="3">
    <w:abstractNumId w:val="10"/>
  </w:num>
  <w:num w:numId="4">
    <w:abstractNumId w:val="11"/>
  </w:num>
  <w:num w:numId="5">
    <w:abstractNumId w:val="13"/>
  </w:num>
  <w:num w:numId="6">
    <w:abstractNumId w:val="12"/>
  </w:num>
  <w:num w:numId="7">
    <w:abstractNumId w:val="7"/>
  </w:num>
  <w:num w:numId="8">
    <w:abstractNumId w:val="1"/>
  </w:num>
  <w:num w:numId="9">
    <w:abstractNumId w:val="0"/>
  </w:num>
  <w:num w:numId="10">
    <w:abstractNumId w:val="6"/>
  </w:num>
  <w:num w:numId="11">
    <w:abstractNumId w:val="8"/>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AF"/>
    <w:rsid w:val="000D3B45"/>
    <w:rsid w:val="0015210F"/>
    <w:rsid w:val="00156F6B"/>
    <w:rsid w:val="002064CF"/>
    <w:rsid w:val="00212943"/>
    <w:rsid w:val="00271868"/>
    <w:rsid w:val="0028759B"/>
    <w:rsid w:val="002E6313"/>
    <w:rsid w:val="00301397"/>
    <w:rsid w:val="00316621"/>
    <w:rsid w:val="003174E4"/>
    <w:rsid w:val="00336B06"/>
    <w:rsid w:val="004271FB"/>
    <w:rsid w:val="00441436"/>
    <w:rsid w:val="004455F6"/>
    <w:rsid w:val="004C6483"/>
    <w:rsid w:val="005137AF"/>
    <w:rsid w:val="005822B2"/>
    <w:rsid w:val="006261EF"/>
    <w:rsid w:val="00692F33"/>
    <w:rsid w:val="006B2224"/>
    <w:rsid w:val="00745ACD"/>
    <w:rsid w:val="0078364F"/>
    <w:rsid w:val="00803F4B"/>
    <w:rsid w:val="00893310"/>
    <w:rsid w:val="00894CDB"/>
    <w:rsid w:val="008C4645"/>
    <w:rsid w:val="008F2177"/>
    <w:rsid w:val="0095143F"/>
    <w:rsid w:val="0095711E"/>
    <w:rsid w:val="00986307"/>
    <w:rsid w:val="009D1914"/>
    <w:rsid w:val="00A75411"/>
    <w:rsid w:val="00A82555"/>
    <w:rsid w:val="00AA79C4"/>
    <w:rsid w:val="00B6602A"/>
    <w:rsid w:val="00B8649E"/>
    <w:rsid w:val="00BD405B"/>
    <w:rsid w:val="00C04465"/>
    <w:rsid w:val="00CA4DF2"/>
    <w:rsid w:val="00E42F9D"/>
    <w:rsid w:val="00EB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615AB-6451-412A-A952-8BE06A59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137AF"/>
    <w:pPr>
      <w:widowControl w:val="0"/>
      <w:spacing w:before="51" w:after="0" w:line="240" w:lineRule="auto"/>
      <w:ind w:left="112"/>
      <w:outlineLvl w:val="0"/>
    </w:pPr>
    <w:rPr>
      <w:rFonts w:ascii="Calibri" w:eastAsia="Calibri" w:hAnsi="Calibri"/>
      <w:b/>
      <w:bCs/>
      <w:sz w:val="28"/>
      <w:szCs w:val="28"/>
      <w:lang w:val="en-US"/>
    </w:rPr>
  </w:style>
  <w:style w:type="paragraph" w:styleId="Heading2">
    <w:name w:val="heading 2"/>
    <w:basedOn w:val="Normal"/>
    <w:link w:val="Heading2Char"/>
    <w:uiPriority w:val="1"/>
    <w:qFormat/>
    <w:rsid w:val="005137AF"/>
    <w:pPr>
      <w:widowControl w:val="0"/>
      <w:spacing w:after="0" w:line="240" w:lineRule="auto"/>
      <w:ind w:left="112"/>
      <w:outlineLvl w:val="1"/>
    </w:pPr>
    <w:rPr>
      <w:rFonts w:ascii="Calibri" w:eastAsia="Calibri" w:hAnsi="Calibri"/>
      <w:b/>
      <w:bCs/>
      <w:sz w:val="24"/>
      <w:szCs w:val="24"/>
      <w:lang w:val="en-US"/>
    </w:rPr>
  </w:style>
  <w:style w:type="paragraph" w:styleId="Heading3">
    <w:name w:val="heading 3"/>
    <w:basedOn w:val="Normal"/>
    <w:next w:val="Normal"/>
    <w:link w:val="Heading3Char"/>
    <w:uiPriority w:val="9"/>
    <w:unhideWhenUsed/>
    <w:qFormat/>
    <w:rsid w:val="00EB31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37AF"/>
    <w:rPr>
      <w:rFonts w:ascii="Calibri" w:eastAsia="Calibri" w:hAnsi="Calibri"/>
      <w:b/>
      <w:bCs/>
      <w:sz w:val="28"/>
      <w:szCs w:val="28"/>
      <w:lang w:val="en-US"/>
    </w:rPr>
  </w:style>
  <w:style w:type="character" w:customStyle="1" w:styleId="Heading2Char">
    <w:name w:val="Heading 2 Char"/>
    <w:basedOn w:val="DefaultParagraphFont"/>
    <w:link w:val="Heading2"/>
    <w:uiPriority w:val="1"/>
    <w:rsid w:val="005137AF"/>
    <w:rPr>
      <w:rFonts w:ascii="Calibri" w:eastAsia="Calibri" w:hAnsi="Calibri"/>
      <w:b/>
      <w:bCs/>
      <w:sz w:val="24"/>
      <w:szCs w:val="24"/>
      <w:lang w:val="en-US"/>
    </w:rPr>
  </w:style>
  <w:style w:type="paragraph" w:styleId="BodyText">
    <w:name w:val="Body Text"/>
    <w:basedOn w:val="Normal"/>
    <w:link w:val="BodyTextChar"/>
    <w:uiPriority w:val="1"/>
    <w:qFormat/>
    <w:rsid w:val="005137AF"/>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5137AF"/>
    <w:rPr>
      <w:rFonts w:ascii="Calibri" w:eastAsia="Calibri" w:hAnsi="Calibri"/>
      <w:sz w:val="24"/>
      <w:szCs w:val="24"/>
      <w:lang w:val="en-US"/>
    </w:rPr>
  </w:style>
  <w:style w:type="paragraph" w:styleId="ListParagraph">
    <w:name w:val="List Paragraph"/>
    <w:basedOn w:val="Normal"/>
    <w:uiPriority w:val="34"/>
    <w:qFormat/>
    <w:rsid w:val="005137AF"/>
    <w:pPr>
      <w:widowControl w:val="0"/>
      <w:spacing w:after="0" w:line="240" w:lineRule="auto"/>
    </w:pPr>
    <w:rPr>
      <w:lang w:val="en-US"/>
    </w:rPr>
  </w:style>
  <w:style w:type="paragraph" w:customStyle="1" w:styleId="TableParagraph">
    <w:name w:val="Table Paragraph"/>
    <w:basedOn w:val="Normal"/>
    <w:uiPriority w:val="1"/>
    <w:qFormat/>
    <w:rsid w:val="005137AF"/>
    <w:pPr>
      <w:widowControl w:val="0"/>
      <w:spacing w:after="0" w:line="240" w:lineRule="auto"/>
    </w:pPr>
    <w:rPr>
      <w:lang w:val="en-US"/>
    </w:rPr>
  </w:style>
  <w:style w:type="paragraph" w:styleId="Header">
    <w:name w:val="header"/>
    <w:basedOn w:val="Normal"/>
    <w:link w:val="HeaderChar"/>
    <w:uiPriority w:val="99"/>
    <w:unhideWhenUsed/>
    <w:rsid w:val="005137AF"/>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137AF"/>
    <w:rPr>
      <w:lang w:val="en-US"/>
    </w:rPr>
  </w:style>
  <w:style w:type="paragraph" w:styleId="Footer">
    <w:name w:val="footer"/>
    <w:basedOn w:val="Normal"/>
    <w:link w:val="FooterChar"/>
    <w:uiPriority w:val="99"/>
    <w:unhideWhenUsed/>
    <w:rsid w:val="005137A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137AF"/>
    <w:rPr>
      <w:lang w:val="en-US"/>
    </w:rPr>
  </w:style>
  <w:style w:type="table" w:styleId="TableGrid">
    <w:name w:val="Table Grid"/>
    <w:basedOn w:val="TableNormal"/>
    <w:uiPriority w:val="59"/>
    <w:rsid w:val="0051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59B"/>
    <w:rPr>
      <w:color w:val="0000FF" w:themeColor="hyperlink"/>
      <w:u w:val="single"/>
    </w:rPr>
  </w:style>
  <w:style w:type="character" w:styleId="FollowedHyperlink">
    <w:name w:val="FollowedHyperlink"/>
    <w:basedOn w:val="DefaultParagraphFont"/>
    <w:uiPriority w:val="99"/>
    <w:semiHidden/>
    <w:unhideWhenUsed/>
    <w:rsid w:val="00271868"/>
    <w:rPr>
      <w:color w:val="800080" w:themeColor="followedHyperlink"/>
      <w:u w:val="single"/>
    </w:rPr>
  </w:style>
  <w:style w:type="character" w:styleId="CommentReference">
    <w:name w:val="annotation reference"/>
    <w:basedOn w:val="DefaultParagraphFont"/>
    <w:uiPriority w:val="99"/>
    <w:semiHidden/>
    <w:unhideWhenUsed/>
    <w:rsid w:val="00271868"/>
    <w:rPr>
      <w:sz w:val="16"/>
      <w:szCs w:val="16"/>
    </w:rPr>
  </w:style>
  <w:style w:type="paragraph" w:styleId="CommentText">
    <w:name w:val="annotation text"/>
    <w:basedOn w:val="Normal"/>
    <w:link w:val="CommentTextChar"/>
    <w:uiPriority w:val="99"/>
    <w:semiHidden/>
    <w:unhideWhenUsed/>
    <w:rsid w:val="00271868"/>
    <w:pPr>
      <w:spacing w:line="240" w:lineRule="auto"/>
    </w:pPr>
    <w:rPr>
      <w:sz w:val="20"/>
      <w:szCs w:val="20"/>
    </w:rPr>
  </w:style>
  <w:style w:type="character" w:customStyle="1" w:styleId="CommentTextChar">
    <w:name w:val="Comment Text Char"/>
    <w:basedOn w:val="DefaultParagraphFont"/>
    <w:link w:val="CommentText"/>
    <w:uiPriority w:val="99"/>
    <w:semiHidden/>
    <w:rsid w:val="00271868"/>
    <w:rPr>
      <w:sz w:val="20"/>
      <w:szCs w:val="20"/>
    </w:rPr>
  </w:style>
  <w:style w:type="paragraph" w:styleId="CommentSubject">
    <w:name w:val="annotation subject"/>
    <w:basedOn w:val="CommentText"/>
    <w:next w:val="CommentText"/>
    <w:link w:val="CommentSubjectChar"/>
    <w:uiPriority w:val="99"/>
    <w:semiHidden/>
    <w:unhideWhenUsed/>
    <w:rsid w:val="00271868"/>
    <w:rPr>
      <w:b/>
      <w:bCs/>
    </w:rPr>
  </w:style>
  <w:style w:type="character" w:customStyle="1" w:styleId="CommentSubjectChar">
    <w:name w:val="Comment Subject Char"/>
    <w:basedOn w:val="CommentTextChar"/>
    <w:link w:val="CommentSubject"/>
    <w:uiPriority w:val="99"/>
    <w:semiHidden/>
    <w:rsid w:val="00271868"/>
    <w:rPr>
      <w:b/>
      <w:bCs/>
      <w:sz w:val="20"/>
      <w:szCs w:val="20"/>
    </w:rPr>
  </w:style>
  <w:style w:type="paragraph" w:styleId="BalloonText">
    <w:name w:val="Balloon Text"/>
    <w:basedOn w:val="Normal"/>
    <w:link w:val="BalloonTextChar"/>
    <w:uiPriority w:val="99"/>
    <w:semiHidden/>
    <w:unhideWhenUsed/>
    <w:rsid w:val="0027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68"/>
    <w:rPr>
      <w:rFonts w:ascii="Tahoma" w:hAnsi="Tahoma" w:cs="Tahoma"/>
      <w:sz w:val="16"/>
      <w:szCs w:val="16"/>
    </w:rPr>
  </w:style>
  <w:style w:type="character" w:customStyle="1" w:styleId="Heading3Char">
    <w:name w:val="Heading 3 Char"/>
    <w:basedOn w:val="DefaultParagraphFont"/>
    <w:link w:val="Heading3"/>
    <w:uiPriority w:val="9"/>
    <w:rsid w:val="00EB3165"/>
    <w:rPr>
      <w:rFonts w:asciiTheme="majorHAnsi" w:eastAsiaTheme="majorEastAsia" w:hAnsiTheme="majorHAnsi" w:cstheme="majorBidi"/>
      <w:b/>
      <w:bCs/>
      <w:color w:val="4F81BD" w:themeColor="accent1"/>
    </w:rPr>
  </w:style>
  <w:style w:type="paragraph" w:styleId="NoSpacing">
    <w:name w:val="No Spacing"/>
    <w:uiPriority w:val="1"/>
    <w:qFormat/>
    <w:rsid w:val="00445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finance/procurement/Single-Source-Approv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countsPayable@contacts.bham.ac.uk" TargetMode="External"/><Relationship Id="rId4" Type="http://schemas.openxmlformats.org/officeDocument/2006/relationships/settings" Target="settings.xml"/><Relationship Id="rId9" Type="http://schemas.openxmlformats.org/officeDocument/2006/relationships/hyperlink" Target="mailto:NewSupplierRequest@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4AAC-ACFB-4B64-A7C4-18B5BCBC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Hedge</dc:creator>
  <cp:lastModifiedBy>Alberto Guglielmi (Strategic Change)</cp:lastModifiedBy>
  <cp:revision>2</cp:revision>
  <dcterms:created xsi:type="dcterms:W3CDTF">2019-05-31T12:22:00Z</dcterms:created>
  <dcterms:modified xsi:type="dcterms:W3CDTF">2019-05-31T12:22:00Z</dcterms:modified>
</cp:coreProperties>
</file>