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5BF8" w14:textId="77777777" w:rsidR="002F1D9A" w:rsidRPr="00CA7A12" w:rsidRDefault="002F1D9A" w:rsidP="00BC27C9">
      <w:pPr>
        <w:pStyle w:val="Title"/>
        <w:rPr>
          <w:rFonts w:cs="Arial"/>
          <w:sz w:val="22"/>
          <w:szCs w:val="22"/>
        </w:rPr>
      </w:pPr>
    </w:p>
    <w:p w14:paraId="7F991F84" w14:textId="77777777" w:rsidR="00ED5265" w:rsidRPr="00CA7A12" w:rsidRDefault="00ED5265" w:rsidP="00ED5265">
      <w:pPr>
        <w:jc w:val="center"/>
        <w:rPr>
          <w:b/>
          <w:sz w:val="22"/>
          <w:szCs w:val="22"/>
        </w:rPr>
      </w:pPr>
      <w:r w:rsidRPr="00CA7A12">
        <w:rPr>
          <w:b/>
          <w:sz w:val="22"/>
          <w:szCs w:val="22"/>
        </w:rPr>
        <w:t>University of Birmingham</w:t>
      </w:r>
    </w:p>
    <w:p w14:paraId="305B16C5" w14:textId="77777777" w:rsidR="00ED5265" w:rsidRPr="00CA7A12" w:rsidRDefault="00ED5265" w:rsidP="00ED5265">
      <w:pPr>
        <w:jc w:val="center"/>
        <w:rPr>
          <w:b/>
          <w:sz w:val="22"/>
          <w:szCs w:val="22"/>
        </w:rPr>
      </w:pPr>
      <w:r w:rsidRPr="00CA7A12">
        <w:rPr>
          <w:b/>
          <w:sz w:val="22"/>
          <w:szCs w:val="22"/>
        </w:rPr>
        <w:t>R</w:t>
      </w:r>
      <w:r w:rsidR="00450869">
        <w:rPr>
          <w:b/>
          <w:sz w:val="22"/>
          <w:szCs w:val="22"/>
        </w:rPr>
        <w:t>esea</w:t>
      </w:r>
      <w:r w:rsidR="00F435FA">
        <w:rPr>
          <w:b/>
          <w:sz w:val="22"/>
          <w:szCs w:val="22"/>
        </w:rPr>
        <w:t>rch Integrity Statement 202</w:t>
      </w:r>
      <w:r w:rsidR="006749D7">
        <w:rPr>
          <w:b/>
          <w:sz w:val="22"/>
          <w:szCs w:val="22"/>
        </w:rPr>
        <w:t>1</w:t>
      </w:r>
      <w:r w:rsidR="00F435FA">
        <w:rPr>
          <w:b/>
          <w:sz w:val="22"/>
          <w:szCs w:val="22"/>
        </w:rPr>
        <w:t xml:space="preserve"> –</w:t>
      </w:r>
      <w:r w:rsidR="00CC04D6">
        <w:rPr>
          <w:b/>
          <w:sz w:val="22"/>
          <w:szCs w:val="22"/>
        </w:rPr>
        <w:t xml:space="preserve"> </w:t>
      </w:r>
      <w:r w:rsidR="00F435FA">
        <w:rPr>
          <w:b/>
          <w:sz w:val="22"/>
          <w:szCs w:val="22"/>
        </w:rPr>
        <w:t>202</w:t>
      </w:r>
      <w:r w:rsidR="006749D7">
        <w:rPr>
          <w:b/>
          <w:sz w:val="22"/>
          <w:szCs w:val="22"/>
        </w:rPr>
        <w:t>2</w:t>
      </w:r>
    </w:p>
    <w:p w14:paraId="31855B4F" w14:textId="77777777" w:rsidR="00ED5265" w:rsidRPr="00CA7A12" w:rsidRDefault="00ED5265" w:rsidP="00ED5265">
      <w:pPr>
        <w:rPr>
          <w:sz w:val="22"/>
          <w:szCs w:val="22"/>
        </w:rPr>
      </w:pPr>
    </w:p>
    <w:p w14:paraId="640CB413" w14:textId="77777777" w:rsidR="00ED5265" w:rsidRPr="00CA7A12" w:rsidRDefault="0040611B" w:rsidP="0040611B">
      <w:pPr>
        <w:rPr>
          <w:b/>
          <w:sz w:val="22"/>
          <w:szCs w:val="22"/>
        </w:rPr>
      </w:pPr>
      <w:r w:rsidRPr="0040611B">
        <w:rPr>
          <w:b/>
          <w:sz w:val="22"/>
          <w:szCs w:val="22"/>
        </w:rPr>
        <w:t>1.</w:t>
      </w:r>
      <w:r>
        <w:rPr>
          <w:b/>
          <w:sz w:val="22"/>
          <w:szCs w:val="22"/>
        </w:rPr>
        <w:tab/>
      </w:r>
      <w:r w:rsidR="00ED5265" w:rsidRPr="00CA7A12">
        <w:rPr>
          <w:b/>
          <w:sz w:val="22"/>
          <w:szCs w:val="22"/>
        </w:rPr>
        <w:t>Introduction</w:t>
      </w:r>
    </w:p>
    <w:p w14:paraId="56651697" w14:textId="77777777" w:rsidR="00ED5265" w:rsidRPr="00CA7A12" w:rsidRDefault="00ED5265" w:rsidP="00ED5265">
      <w:pPr>
        <w:rPr>
          <w:sz w:val="22"/>
          <w:szCs w:val="22"/>
        </w:rPr>
      </w:pPr>
    </w:p>
    <w:p w14:paraId="7F2088F3" w14:textId="77777777" w:rsidR="0040611B" w:rsidRDefault="0040611B" w:rsidP="00C3059E">
      <w:pPr>
        <w:rPr>
          <w:sz w:val="22"/>
          <w:szCs w:val="22"/>
        </w:rPr>
      </w:pPr>
      <w:r w:rsidRPr="00CA7A12">
        <w:rPr>
          <w:sz w:val="22"/>
          <w:szCs w:val="22"/>
        </w:rPr>
        <w:t>The University is committed to fostering a positive culture of research integrity</w:t>
      </w:r>
      <w:r>
        <w:rPr>
          <w:sz w:val="22"/>
          <w:szCs w:val="22"/>
        </w:rPr>
        <w:t xml:space="preserve"> for all of our researchers, and we therefore welcome the opportunity provided by the Annual Statement to review progress and to share this with the wider sector and other interested stakeholders.</w:t>
      </w:r>
    </w:p>
    <w:p w14:paraId="1E32DA46" w14:textId="77777777" w:rsidR="0040611B" w:rsidRDefault="0040611B" w:rsidP="00C3059E">
      <w:pPr>
        <w:rPr>
          <w:sz w:val="22"/>
          <w:szCs w:val="22"/>
        </w:rPr>
      </w:pPr>
    </w:p>
    <w:p w14:paraId="1FEC7CFC" w14:textId="77777777" w:rsidR="00C3059E" w:rsidRPr="00CA7A12" w:rsidRDefault="0040611B" w:rsidP="00C3059E">
      <w:pPr>
        <w:rPr>
          <w:sz w:val="22"/>
          <w:szCs w:val="22"/>
        </w:rPr>
      </w:pPr>
      <w:r w:rsidRPr="00CA7A12">
        <w:rPr>
          <w:sz w:val="22"/>
          <w:szCs w:val="22"/>
        </w:rPr>
        <w:t>This is the Universit</w:t>
      </w:r>
      <w:r>
        <w:rPr>
          <w:sz w:val="22"/>
          <w:szCs w:val="22"/>
        </w:rPr>
        <w:t xml:space="preserve">y of Birmingham’s ninth </w:t>
      </w:r>
      <w:r w:rsidRPr="00CA7A12">
        <w:rPr>
          <w:sz w:val="22"/>
          <w:szCs w:val="22"/>
        </w:rPr>
        <w:t>annual summary statement on research integrity</w:t>
      </w:r>
      <w:r w:rsidR="0065042B">
        <w:rPr>
          <w:sz w:val="22"/>
          <w:szCs w:val="22"/>
        </w:rPr>
        <w:t xml:space="preserve"> </w:t>
      </w:r>
      <w:r w:rsidR="00D6650D">
        <w:rPr>
          <w:sz w:val="22"/>
          <w:szCs w:val="22"/>
        </w:rPr>
        <w:t>and covers</w:t>
      </w:r>
      <w:r>
        <w:rPr>
          <w:sz w:val="22"/>
          <w:szCs w:val="22"/>
        </w:rPr>
        <w:t xml:space="preserve"> the period 2021</w:t>
      </w:r>
      <w:r w:rsidR="00CC04D6">
        <w:rPr>
          <w:sz w:val="22"/>
          <w:szCs w:val="22"/>
        </w:rPr>
        <w:t xml:space="preserve"> </w:t>
      </w:r>
      <w:r>
        <w:rPr>
          <w:sz w:val="22"/>
          <w:szCs w:val="22"/>
        </w:rPr>
        <w:t>-</w:t>
      </w:r>
      <w:r w:rsidR="00CC04D6">
        <w:rPr>
          <w:sz w:val="22"/>
          <w:szCs w:val="22"/>
        </w:rPr>
        <w:t xml:space="preserve"> </w:t>
      </w:r>
      <w:r>
        <w:rPr>
          <w:sz w:val="22"/>
          <w:szCs w:val="22"/>
        </w:rPr>
        <w:t xml:space="preserve">2022. </w:t>
      </w:r>
    </w:p>
    <w:p w14:paraId="4E8382F2" w14:textId="77777777" w:rsidR="00ED5265" w:rsidRPr="00CA7A12" w:rsidRDefault="00ED5265" w:rsidP="00ED5265">
      <w:pPr>
        <w:rPr>
          <w:sz w:val="22"/>
          <w:szCs w:val="22"/>
        </w:rPr>
      </w:pPr>
    </w:p>
    <w:p w14:paraId="26436EFC" w14:textId="77777777" w:rsidR="00ED5265" w:rsidRPr="00CA7A12" w:rsidRDefault="0040611B" w:rsidP="00ED5265">
      <w:pPr>
        <w:rPr>
          <w:b/>
          <w:sz w:val="22"/>
          <w:szCs w:val="22"/>
        </w:rPr>
      </w:pPr>
      <w:r>
        <w:rPr>
          <w:b/>
          <w:sz w:val="22"/>
          <w:szCs w:val="22"/>
        </w:rPr>
        <w:t>2.</w:t>
      </w:r>
      <w:r>
        <w:rPr>
          <w:b/>
          <w:sz w:val="22"/>
          <w:szCs w:val="22"/>
        </w:rPr>
        <w:tab/>
        <w:t xml:space="preserve">Institutional governance </w:t>
      </w:r>
    </w:p>
    <w:p w14:paraId="040570B3" w14:textId="77777777" w:rsidR="00ED5265" w:rsidRPr="00CA7A12" w:rsidRDefault="00ED5265" w:rsidP="00ED5265">
      <w:pPr>
        <w:rPr>
          <w:sz w:val="22"/>
          <w:szCs w:val="22"/>
        </w:rPr>
      </w:pPr>
    </w:p>
    <w:p w14:paraId="5FC12A83" w14:textId="77777777" w:rsidR="00180D78" w:rsidRDefault="0040611B" w:rsidP="00C74D9D">
      <w:pPr>
        <w:rPr>
          <w:sz w:val="22"/>
          <w:szCs w:val="22"/>
        </w:rPr>
      </w:pPr>
      <w:r>
        <w:rPr>
          <w:sz w:val="22"/>
          <w:szCs w:val="22"/>
        </w:rPr>
        <w:t xml:space="preserve">The University has a </w:t>
      </w:r>
      <w:r w:rsidR="0065042B">
        <w:rPr>
          <w:sz w:val="22"/>
          <w:szCs w:val="22"/>
        </w:rPr>
        <w:t>well-established</w:t>
      </w:r>
      <w:r>
        <w:rPr>
          <w:sz w:val="22"/>
          <w:szCs w:val="22"/>
        </w:rPr>
        <w:t xml:space="preserve"> internal research </w:t>
      </w:r>
      <w:r w:rsidR="0065042B">
        <w:rPr>
          <w:sz w:val="22"/>
          <w:szCs w:val="22"/>
        </w:rPr>
        <w:t xml:space="preserve">ethics and </w:t>
      </w:r>
      <w:r>
        <w:rPr>
          <w:sz w:val="22"/>
          <w:szCs w:val="22"/>
        </w:rPr>
        <w:t>governance structure</w:t>
      </w:r>
      <w:r w:rsidR="0039043F">
        <w:rPr>
          <w:sz w:val="22"/>
          <w:szCs w:val="22"/>
        </w:rPr>
        <w:t xml:space="preserve">, </w:t>
      </w:r>
      <w:r>
        <w:rPr>
          <w:sz w:val="22"/>
          <w:szCs w:val="22"/>
        </w:rPr>
        <w:t>that support</w:t>
      </w:r>
      <w:r w:rsidR="0065042B">
        <w:rPr>
          <w:sz w:val="22"/>
          <w:szCs w:val="22"/>
        </w:rPr>
        <w:t>s</w:t>
      </w:r>
      <w:r>
        <w:rPr>
          <w:sz w:val="22"/>
          <w:szCs w:val="22"/>
        </w:rPr>
        <w:t xml:space="preserve"> a positive culture of research integrity at all levels, with </w:t>
      </w:r>
      <w:r w:rsidR="0039043F">
        <w:rPr>
          <w:sz w:val="22"/>
          <w:szCs w:val="22"/>
        </w:rPr>
        <w:t>active engagement at a College and School</w:t>
      </w:r>
      <w:r w:rsidR="004D47A0">
        <w:rPr>
          <w:sz w:val="22"/>
          <w:szCs w:val="22"/>
        </w:rPr>
        <w:t xml:space="preserve"> </w:t>
      </w:r>
      <w:r w:rsidR="0039043F">
        <w:rPr>
          <w:sz w:val="22"/>
          <w:szCs w:val="22"/>
        </w:rPr>
        <w:t>/</w:t>
      </w:r>
      <w:r w:rsidR="004D47A0">
        <w:rPr>
          <w:sz w:val="22"/>
          <w:szCs w:val="22"/>
        </w:rPr>
        <w:t xml:space="preserve"> </w:t>
      </w:r>
      <w:r w:rsidR="0039043F">
        <w:rPr>
          <w:sz w:val="22"/>
          <w:szCs w:val="22"/>
        </w:rPr>
        <w:t xml:space="preserve">Institute level by </w:t>
      </w:r>
      <w:r w:rsidR="00180D78" w:rsidRPr="00CA7A12">
        <w:rPr>
          <w:sz w:val="22"/>
          <w:szCs w:val="22"/>
        </w:rPr>
        <w:t>Directors of Research</w:t>
      </w:r>
      <w:r w:rsidR="001A7CD6">
        <w:rPr>
          <w:sz w:val="22"/>
          <w:szCs w:val="22"/>
        </w:rPr>
        <w:t xml:space="preserve">, </w:t>
      </w:r>
      <w:r w:rsidR="00180D78" w:rsidRPr="00CA7A12">
        <w:rPr>
          <w:sz w:val="22"/>
          <w:szCs w:val="22"/>
        </w:rPr>
        <w:t>Research Ethics Committee Co-Chairs</w:t>
      </w:r>
      <w:r>
        <w:rPr>
          <w:sz w:val="22"/>
          <w:szCs w:val="22"/>
        </w:rPr>
        <w:t xml:space="preserve"> </w:t>
      </w:r>
      <w:r w:rsidR="0039043F">
        <w:rPr>
          <w:sz w:val="22"/>
          <w:szCs w:val="22"/>
        </w:rPr>
        <w:t xml:space="preserve"> and Reviewers, and institutional oversight</w:t>
      </w:r>
      <w:r>
        <w:rPr>
          <w:sz w:val="22"/>
          <w:szCs w:val="22"/>
        </w:rPr>
        <w:t xml:space="preserve"> being delivered by the </w:t>
      </w:r>
      <w:r w:rsidR="00180D78" w:rsidRPr="00CA7A12">
        <w:rPr>
          <w:sz w:val="22"/>
          <w:szCs w:val="22"/>
        </w:rPr>
        <w:t>Clinical Trials Oversight Committee (CTOC)</w:t>
      </w:r>
      <w:r w:rsidR="002C3BD4">
        <w:rPr>
          <w:sz w:val="22"/>
          <w:szCs w:val="22"/>
        </w:rPr>
        <w:t>,</w:t>
      </w:r>
      <w:r w:rsidR="00F16637">
        <w:rPr>
          <w:sz w:val="22"/>
          <w:szCs w:val="22"/>
        </w:rPr>
        <w:t xml:space="preserve"> </w:t>
      </w:r>
      <w:r w:rsidR="00180D78" w:rsidRPr="00CA7A12">
        <w:rPr>
          <w:sz w:val="22"/>
          <w:szCs w:val="22"/>
        </w:rPr>
        <w:t>the Human Tissue Oversight Committee (HTOC)</w:t>
      </w:r>
      <w:r w:rsidR="002C3BD4">
        <w:rPr>
          <w:sz w:val="22"/>
          <w:szCs w:val="22"/>
        </w:rPr>
        <w:t>, and</w:t>
      </w:r>
      <w:r w:rsidR="00180D78" w:rsidRPr="00CA7A12">
        <w:rPr>
          <w:sz w:val="22"/>
          <w:szCs w:val="22"/>
        </w:rPr>
        <w:t xml:space="preserve"> the Animal Welfare and Ethical Review Body (AWERB)</w:t>
      </w:r>
      <w:r w:rsidR="002C3BD4">
        <w:rPr>
          <w:sz w:val="22"/>
          <w:szCs w:val="22"/>
        </w:rPr>
        <w:t>,</w:t>
      </w:r>
      <w:r w:rsidR="00180D78" w:rsidRPr="00CA7A12">
        <w:rPr>
          <w:sz w:val="22"/>
          <w:szCs w:val="22"/>
        </w:rPr>
        <w:t xml:space="preserve"> </w:t>
      </w:r>
      <w:r>
        <w:rPr>
          <w:sz w:val="22"/>
          <w:szCs w:val="22"/>
        </w:rPr>
        <w:t>all of which report into the Research Governance</w:t>
      </w:r>
      <w:r w:rsidR="001A7CD6">
        <w:rPr>
          <w:sz w:val="22"/>
          <w:szCs w:val="22"/>
        </w:rPr>
        <w:t xml:space="preserve">, </w:t>
      </w:r>
      <w:r>
        <w:rPr>
          <w:sz w:val="22"/>
          <w:szCs w:val="22"/>
        </w:rPr>
        <w:t xml:space="preserve">Ethics </w:t>
      </w:r>
      <w:r w:rsidR="001A7CD6">
        <w:rPr>
          <w:sz w:val="22"/>
          <w:szCs w:val="22"/>
        </w:rPr>
        <w:t xml:space="preserve">and Integrity </w:t>
      </w:r>
      <w:r>
        <w:rPr>
          <w:sz w:val="22"/>
          <w:szCs w:val="22"/>
        </w:rPr>
        <w:t>Committee</w:t>
      </w:r>
      <w:r w:rsidR="001A7CD6">
        <w:rPr>
          <w:sz w:val="22"/>
          <w:szCs w:val="22"/>
        </w:rPr>
        <w:t xml:space="preserve"> (RGEIC)</w:t>
      </w:r>
      <w:r>
        <w:rPr>
          <w:sz w:val="22"/>
          <w:szCs w:val="22"/>
        </w:rPr>
        <w:t xml:space="preserve">, which oversees and coordinates research integrity activities on behalf of the University. </w:t>
      </w:r>
      <w:r w:rsidR="002676AF">
        <w:rPr>
          <w:sz w:val="22"/>
          <w:szCs w:val="22"/>
        </w:rPr>
        <w:t xml:space="preserve">During the </w:t>
      </w:r>
      <w:r w:rsidR="0039043F">
        <w:rPr>
          <w:sz w:val="22"/>
          <w:szCs w:val="22"/>
        </w:rPr>
        <w:t>reporting period the RGE</w:t>
      </w:r>
      <w:r w:rsidR="001A7CD6">
        <w:rPr>
          <w:sz w:val="22"/>
          <w:szCs w:val="22"/>
        </w:rPr>
        <w:t>I</w:t>
      </w:r>
      <w:r w:rsidR="0039043F">
        <w:rPr>
          <w:sz w:val="22"/>
          <w:szCs w:val="22"/>
        </w:rPr>
        <w:t xml:space="preserve">C has been chaired by </w:t>
      </w:r>
      <w:r w:rsidR="002676AF">
        <w:rPr>
          <w:sz w:val="22"/>
          <w:szCs w:val="22"/>
        </w:rPr>
        <w:t xml:space="preserve">Professor </w:t>
      </w:r>
      <w:r w:rsidR="0039043F">
        <w:rPr>
          <w:sz w:val="22"/>
          <w:szCs w:val="22"/>
        </w:rPr>
        <w:t xml:space="preserve">Heather Widdows, </w:t>
      </w:r>
      <w:r w:rsidR="004D47A0">
        <w:rPr>
          <w:sz w:val="22"/>
          <w:szCs w:val="22"/>
        </w:rPr>
        <w:t>the Pro</w:t>
      </w:r>
      <w:r w:rsidR="0039043F" w:rsidRPr="00CA7A12">
        <w:rPr>
          <w:sz w:val="22"/>
          <w:szCs w:val="22"/>
        </w:rPr>
        <w:t>-Vice-Chancellor (Research and Knowledge Transfer)</w:t>
      </w:r>
      <w:r w:rsidR="0039043F">
        <w:rPr>
          <w:sz w:val="22"/>
          <w:szCs w:val="22"/>
        </w:rPr>
        <w:t xml:space="preserve"> and UEB ‘research integrity’ sponsor. </w:t>
      </w:r>
    </w:p>
    <w:p w14:paraId="1088D93B" w14:textId="77777777" w:rsidR="0040611B" w:rsidRDefault="0040611B" w:rsidP="00C74D9D">
      <w:pPr>
        <w:rPr>
          <w:sz w:val="22"/>
          <w:szCs w:val="22"/>
        </w:rPr>
      </w:pPr>
    </w:p>
    <w:p w14:paraId="6D0266A7" w14:textId="77777777" w:rsidR="004D47A0" w:rsidRDefault="0040611B" w:rsidP="0040611B">
      <w:pPr>
        <w:rPr>
          <w:sz w:val="22"/>
          <w:szCs w:val="22"/>
        </w:rPr>
      </w:pPr>
      <w:r>
        <w:rPr>
          <w:sz w:val="22"/>
          <w:szCs w:val="22"/>
        </w:rPr>
        <w:t>Dedicated expert support for all matters relating to research integrity is provided by the Research Ethics &amp; Governance Team</w:t>
      </w:r>
      <w:r w:rsidR="002C1829">
        <w:rPr>
          <w:sz w:val="22"/>
          <w:szCs w:val="22"/>
        </w:rPr>
        <w:t xml:space="preserve"> (REGT)</w:t>
      </w:r>
      <w:r>
        <w:rPr>
          <w:sz w:val="22"/>
          <w:szCs w:val="22"/>
        </w:rPr>
        <w:t xml:space="preserve">, which works in close collaboration </w:t>
      </w:r>
      <w:r w:rsidR="0039043F">
        <w:rPr>
          <w:sz w:val="22"/>
          <w:szCs w:val="22"/>
        </w:rPr>
        <w:t xml:space="preserve">with other expert teams from across the research </w:t>
      </w:r>
      <w:proofErr w:type="gramStart"/>
      <w:r w:rsidR="0039043F">
        <w:rPr>
          <w:sz w:val="22"/>
          <w:szCs w:val="22"/>
        </w:rPr>
        <w:t>life-cycle</w:t>
      </w:r>
      <w:proofErr w:type="gramEnd"/>
      <w:r w:rsidR="0039043F">
        <w:rPr>
          <w:sz w:val="22"/>
          <w:szCs w:val="22"/>
        </w:rPr>
        <w:t>, including for example</w:t>
      </w:r>
      <w:r>
        <w:rPr>
          <w:sz w:val="22"/>
          <w:szCs w:val="22"/>
        </w:rPr>
        <w:t xml:space="preserve"> the </w:t>
      </w:r>
      <w:r w:rsidR="00180D78" w:rsidRPr="00CA7A12">
        <w:rPr>
          <w:sz w:val="22"/>
          <w:szCs w:val="22"/>
        </w:rPr>
        <w:t>Clinical Research Compliance Team (CRCT)</w:t>
      </w:r>
      <w:r w:rsidR="00107AFA">
        <w:rPr>
          <w:sz w:val="22"/>
          <w:szCs w:val="22"/>
        </w:rPr>
        <w:t xml:space="preserve">, </w:t>
      </w:r>
      <w:r w:rsidR="00F435FA">
        <w:rPr>
          <w:sz w:val="22"/>
          <w:szCs w:val="22"/>
        </w:rPr>
        <w:t>c</w:t>
      </w:r>
      <w:r w:rsidR="00107AFA">
        <w:rPr>
          <w:sz w:val="22"/>
          <w:szCs w:val="22"/>
        </w:rPr>
        <w:t>olleagues from Library Services</w:t>
      </w:r>
      <w:r w:rsidR="00ED24CB">
        <w:rPr>
          <w:sz w:val="22"/>
          <w:szCs w:val="22"/>
        </w:rPr>
        <w:t xml:space="preserve">, </w:t>
      </w:r>
      <w:r w:rsidR="00107AFA">
        <w:rPr>
          <w:sz w:val="22"/>
          <w:szCs w:val="22"/>
        </w:rPr>
        <w:t xml:space="preserve">Legal Services </w:t>
      </w:r>
      <w:r w:rsidR="00ED24CB">
        <w:rPr>
          <w:sz w:val="22"/>
          <w:szCs w:val="22"/>
        </w:rPr>
        <w:t>and HR</w:t>
      </w:r>
      <w:r>
        <w:rPr>
          <w:sz w:val="22"/>
          <w:szCs w:val="22"/>
        </w:rPr>
        <w:t xml:space="preserve">, to provide proactive support to the University, its individual researchers, funders and partners. </w:t>
      </w:r>
    </w:p>
    <w:p w14:paraId="1028F3AE" w14:textId="77777777" w:rsidR="004D47A0" w:rsidRDefault="004D47A0" w:rsidP="0040611B">
      <w:pPr>
        <w:rPr>
          <w:sz w:val="22"/>
          <w:szCs w:val="22"/>
        </w:rPr>
      </w:pPr>
    </w:p>
    <w:p w14:paraId="0E1919FA" w14:textId="77777777" w:rsidR="0040611B" w:rsidRPr="00CA7A12" w:rsidRDefault="0039043F" w:rsidP="0040611B">
      <w:pPr>
        <w:rPr>
          <w:sz w:val="22"/>
          <w:szCs w:val="22"/>
        </w:rPr>
      </w:pPr>
      <w:r>
        <w:rPr>
          <w:sz w:val="22"/>
          <w:szCs w:val="22"/>
        </w:rPr>
        <w:t xml:space="preserve">This support environment has been further </w:t>
      </w:r>
      <w:r w:rsidR="001A7CD6">
        <w:rPr>
          <w:sz w:val="22"/>
          <w:szCs w:val="22"/>
        </w:rPr>
        <w:t>strengthened</w:t>
      </w:r>
      <w:r>
        <w:rPr>
          <w:sz w:val="22"/>
          <w:szCs w:val="22"/>
        </w:rPr>
        <w:t xml:space="preserve"> during the reporting period by the University’s decision to </w:t>
      </w:r>
      <w:r w:rsidR="0040611B">
        <w:rPr>
          <w:sz w:val="22"/>
          <w:szCs w:val="22"/>
        </w:rPr>
        <w:t>establish the new Research Strategy &amp; Services Division</w:t>
      </w:r>
      <w:r>
        <w:rPr>
          <w:sz w:val="22"/>
          <w:szCs w:val="22"/>
        </w:rPr>
        <w:t xml:space="preserve">, bringing together </w:t>
      </w:r>
      <w:r w:rsidR="0040611B">
        <w:rPr>
          <w:sz w:val="22"/>
          <w:szCs w:val="22"/>
        </w:rPr>
        <w:t>the Professional Services support for research into one new integrated eco-system, providing increased opportunity to embed principles of research integrity across</w:t>
      </w:r>
      <w:r>
        <w:rPr>
          <w:sz w:val="22"/>
          <w:szCs w:val="22"/>
        </w:rPr>
        <w:t xml:space="preserve"> the pathway from initial idea to project completion</w:t>
      </w:r>
      <w:r w:rsidR="0040611B">
        <w:rPr>
          <w:sz w:val="22"/>
          <w:szCs w:val="22"/>
        </w:rPr>
        <w:t xml:space="preserve">. In recognition of the importance of research integrity to the University’s research environment, the Head of Research Governance &amp; Integrity is a member of the Senior Leadership Group of the new Division, providing an opportunity to build on the excellent work in this area to date.  </w:t>
      </w:r>
    </w:p>
    <w:p w14:paraId="74065566" w14:textId="77777777" w:rsidR="0040611B" w:rsidRDefault="0040611B" w:rsidP="00180D78">
      <w:pPr>
        <w:rPr>
          <w:sz w:val="22"/>
          <w:szCs w:val="22"/>
        </w:rPr>
      </w:pPr>
    </w:p>
    <w:p w14:paraId="32071222" w14:textId="77777777" w:rsidR="0040611B" w:rsidRDefault="0040611B" w:rsidP="00180D78">
      <w:pPr>
        <w:rPr>
          <w:sz w:val="22"/>
          <w:szCs w:val="22"/>
        </w:rPr>
      </w:pPr>
    </w:p>
    <w:p w14:paraId="544F615E" w14:textId="77777777" w:rsidR="00ED5265" w:rsidRDefault="0040611B" w:rsidP="00180D78">
      <w:pPr>
        <w:rPr>
          <w:b/>
          <w:bCs/>
          <w:sz w:val="22"/>
          <w:szCs w:val="22"/>
        </w:rPr>
      </w:pPr>
      <w:r>
        <w:rPr>
          <w:b/>
          <w:bCs/>
          <w:sz w:val="22"/>
          <w:szCs w:val="22"/>
        </w:rPr>
        <w:t>3.</w:t>
      </w:r>
      <w:r>
        <w:rPr>
          <w:b/>
          <w:bCs/>
          <w:sz w:val="22"/>
          <w:szCs w:val="22"/>
        </w:rPr>
        <w:tab/>
        <w:t>Research Integrity Activities 2021</w:t>
      </w:r>
      <w:r w:rsidR="00CC04D6">
        <w:rPr>
          <w:b/>
          <w:bCs/>
          <w:sz w:val="22"/>
          <w:szCs w:val="22"/>
        </w:rPr>
        <w:t xml:space="preserve"> </w:t>
      </w:r>
      <w:r>
        <w:rPr>
          <w:b/>
          <w:bCs/>
          <w:sz w:val="22"/>
          <w:szCs w:val="22"/>
        </w:rPr>
        <w:t>-</w:t>
      </w:r>
      <w:r w:rsidR="00CC04D6">
        <w:rPr>
          <w:b/>
          <w:bCs/>
          <w:sz w:val="22"/>
          <w:szCs w:val="22"/>
        </w:rPr>
        <w:t xml:space="preserve"> </w:t>
      </w:r>
      <w:r>
        <w:rPr>
          <w:b/>
          <w:bCs/>
          <w:sz w:val="22"/>
          <w:szCs w:val="22"/>
        </w:rPr>
        <w:t>2022</w:t>
      </w:r>
    </w:p>
    <w:p w14:paraId="045723C6" w14:textId="77777777" w:rsidR="00F82460" w:rsidRPr="0065042B" w:rsidRDefault="00F82460" w:rsidP="00180D78">
      <w:pPr>
        <w:rPr>
          <w:b/>
          <w:bCs/>
          <w:sz w:val="22"/>
          <w:szCs w:val="22"/>
        </w:rPr>
      </w:pPr>
    </w:p>
    <w:p w14:paraId="1E04277E" w14:textId="77777777" w:rsidR="0080122C" w:rsidRPr="00CA7A12" w:rsidRDefault="0080122C" w:rsidP="0080122C">
      <w:pPr>
        <w:numPr>
          <w:ilvl w:val="1"/>
          <w:numId w:val="29"/>
        </w:numPr>
        <w:rPr>
          <w:color w:val="FF0000"/>
          <w:sz w:val="22"/>
          <w:szCs w:val="22"/>
        </w:rPr>
      </w:pPr>
      <w:r>
        <w:rPr>
          <w:sz w:val="22"/>
          <w:szCs w:val="22"/>
        </w:rPr>
        <w:tab/>
        <w:t>New research ethics review system</w:t>
      </w:r>
      <w:r w:rsidR="009C3C00">
        <w:rPr>
          <w:sz w:val="22"/>
          <w:szCs w:val="22"/>
        </w:rPr>
        <w:t>: Ethics Review Manager (ERM)</w:t>
      </w:r>
    </w:p>
    <w:p w14:paraId="206BC7F8" w14:textId="77777777" w:rsidR="0080122C" w:rsidRPr="00F86C44" w:rsidRDefault="0080122C" w:rsidP="0080122C">
      <w:pPr>
        <w:pStyle w:val="ListParagraph"/>
        <w:ind w:left="360"/>
        <w:rPr>
          <w:sz w:val="22"/>
          <w:szCs w:val="22"/>
        </w:rPr>
      </w:pPr>
    </w:p>
    <w:p w14:paraId="61E33B99" w14:textId="77777777" w:rsidR="000F63DB" w:rsidRDefault="00AD3E9A" w:rsidP="000F63DB">
      <w:pPr>
        <w:pStyle w:val="ListParagraph"/>
        <w:ind w:left="360"/>
        <w:rPr>
          <w:sz w:val="22"/>
          <w:szCs w:val="22"/>
        </w:rPr>
      </w:pPr>
      <w:r>
        <w:rPr>
          <w:sz w:val="22"/>
          <w:szCs w:val="22"/>
        </w:rPr>
        <w:tab/>
      </w:r>
      <w:r w:rsidR="0039043F">
        <w:rPr>
          <w:sz w:val="22"/>
          <w:szCs w:val="22"/>
        </w:rPr>
        <w:t>As part of the University’s ongoing commitment to</w:t>
      </w:r>
      <w:r w:rsidR="000F63DB">
        <w:rPr>
          <w:sz w:val="22"/>
          <w:szCs w:val="22"/>
        </w:rPr>
        <w:t xml:space="preserve"> continually strengthen our approach to </w:t>
      </w:r>
      <w:r>
        <w:rPr>
          <w:sz w:val="22"/>
          <w:szCs w:val="22"/>
        </w:rPr>
        <w:tab/>
      </w:r>
      <w:r w:rsidR="000F63DB">
        <w:rPr>
          <w:sz w:val="22"/>
          <w:szCs w:val="22"/>
        </w:rPr>
        <w:t xml:space="preserve">research governance and integrity, a major project has been progressed during the review </w:t>
      </w:r>
      <w:r>
        <w:rPr>
          <w:sz w:val="22"/>
          <w:szCs w:val="22"/>
        </w:rPr>
        <w:tab/>
      </w:r>
      <w:r w:rsidR="000F63DB">
        <w:rPr>
          <w:sz w:val="22"/>
          <w:szCs w:val="22"/>
        </w:rPr>
        <w:t>period, to procure and embed a new research ethics review system,</w:t>
      </w:r>
      <w:r w:rsidR="00235FE1">
        <w:rPr>
          <w:sz w:val="22"/>
          <w:szCs w:val="22"/>
        </w:rPr>
        <w:t xml:space="preserve"> the</w:t>
      </w:r>
      <w:r w:rsidR="000F63DB">
        <w:rPr>
          <w:sz w:val="22"/>
          <w:szCs w:val="22"/>
        </w:rPr>
        <w:t xml:space="preserve"> ‘Ethics Review </w:t>
      </w:r>
      <w:r>
        <w:rPr>
          <w:sz w:val="22"/>
          <w:szCs w:val="22"/>
        </w:rPr>
        <w:tab/>
      </w:r>
      <w:r w:rsidR="000F63DB">
        <w:rPr>
          <w:sz w:val="22"/>
          <w:szCs w:val="22"/>
        </w:rPr>
        <w:t>Manager’ (ERM). This will provide significant benefits for both</w:t>
      </w:r>
      <w:r>
        <w:rPr>
          <w:sz w:val="22"/>
          <w:szCs w:val="22"/>
        </w:rPr>
        <w:t xml:space="preserve"> </w:t>
      </w:r>
      <w:r w:rsidR="000F63DB">
        <w:rPr>
          <w:sz w:val="22"/>
          <w:szCs w:val="22"/>
        </w:rPr>
        <w:t xml:space="preserve">ethics applicants and </w:t>
      </w:r>
      <w:r>
        <w:rPr>
          <w:sz w:val="22"/>
          <w:szCs w:val="22"/>
        </w:rPr>
        <w:tab/>
      </w:r>
      <w:r w:rsidR="000F63DB">
        <w:rPr>
          <w:sz w:val="22"/>
          <w:szCs w:val="22"/>
        </w:rPr>
        <w:t xml:space="preserve">reviewers, with the former benefiting from a ‘one stop shop’ application portal into which they </w:t>
      </w:r>
      <w:r>
        <w:rPr>
          <w:sz w:val="22"/>
          <w:szCs w:val="22"/>
        </w:rPr>
        <w:tab/>
      </w:r>
      <w:r w:rsidR="000F63DB">
        <w:rPr>
          <w:sz w:val="22"/>
          <w:szCs w:val="22"/>
        </w:rPr>
        <w:t xml:space="preserve">can submit and track the progress of their application, and </w:t>
      </w:r>
      <w:r w:rsidR="00A61814">
        <w:rPr>
          <w:sz w:val="22"/>
          <w:szCs w:val="22"/>
        </w:rPr>
        <w:t xml:space="preserve">with </w:t>
      </w:r>
      <w:r w:rsidR="000F63DB">
        <w:rPr>
          <w:sz w:val="22"/>
          <w:szCs w:val="22"/>
        </w:rPr>
        <w:t xml:space="preserve">reviewers now able to </w:t>
      </w:r>
      <w:r>
        <w:rPr>
          <w:sz w:val="22"/>
          <w:szCs w:val="22"/>
        </w:rPr>
        <w:tab/>
      </w:r>
      <w:r w:rsidR="000F63DB">
        <w:rPr>
          <w:sz w:val="22"/>
          <w:szCs w:val="22"/>
        </w:rPr>
        <w:t xml:space="preserve">communicate and share best practice across their network in a more agile and responsive </w:t>
      </w:r>
      <w:r>
        <w:rPr>
          <w:sz w:val="22"/>
          <w:szCs w:val="22"/>
        </w:rPr>
        <w:tab/>
      </w:r>
      <w:r w:rsidR="000F63DB">
        <w:rPr>
          <w:sz w:val="22"/>
          <w:szCs w:val="22"/>
        </w:rPr>
        <w:t>manner</w:t>
      </w:r>
      <w:r w:rsidR="00A61814">
        <w:rPr>
          <w:sz w:val="22"/>
          <w:szCs w:val="22"/>
        </w:rPr>
        <w:t>.</w:t>
      </w:r>
    </w:p>
    <w:p w14:paraId="657259DC" w14:textId="77777777" w:rsidR="000F63DB" w:rsidRDefault="000F63DB" w:rsidP="000F63DB">
      <w:pPr>
        <w:pStyle w:val="ListParagraph"/>
        <w:ind w:left="360"/>
        <w:rPr>
          <w:sz w:val="22"/>
          <w:szCs w:val="22"/>
        </w:rPr>
      </w:pPr>
    </w:p>
    <w:p w14:paraId="6EEE41BC" w14:textId="77777777" w:rsidR="000F63DB" w:rsidRDefault="00AD3E9A" w:rsidP="000F63DB">
      <w:pPr>
        <w:pStyle w:val="ListParagraph"/>
        <w:ind w:left="360"/>
        <w:rPr>
          <w:sz w:val="22"/>
          <w:szCs w:val="22"/>
        </w:rPr>
      </w:pPr>
      <w:r>
        <w:rPr>
          <w:sz w:val="22"/>
          <w:szCs w:val="22"/>
        </w:rPr>
        <w:tab/>
      </w:r>
      <w:r w:rsidR="000F63DB">
        <w:rPr>
          <w:sz w:val="22"/>
          <w:szCs w:val="22"/>
        </w:rPr>
        <w:t xml:space="preserve">The process of implementing the new system facilitated some new thinking around our </w:t>
      </w:r>
      <w:r>
        <w:rPr>
          <w:sz w:val="22"/>
          <w:szCs w:val="22"/>
        </w:rPr>
        <w:tab/>
      </w:r>
      <w:r w:rsidR="000F63DB">
        <w:rPr>
          <w:sz w:val="22"/>
          <w:szCs w:val="22"/>
        </w:rPr>
        <w:t xml:space="preserve">ethics review processes, including the introduction of a new lighter touch review pathway for </w:t>
      </w:r>
      <w:r>
        <w:rPr>
          <w:sz w:val="22"/>
          <w:szCs w:val="22"/>
        </w:rPr>
        <w:lastRenderedPageBreak/>
        <w:tab/>
      </w:r>
      <w:proofErr w:type="gramStart"/>
      <w:r w:rsidR="000F63DB" w:rsidRPr="00D17D87">
        <w:rPr>
          <w:sz w:val="22"/>
          <w:szCs w:val="22"/>
        </w:rPr>
        <w:t>low risk</w:t>
      </w:r>
      <w:proofErr w:type="gramEnd"/>
      <w:r w:rsidR="000F63DB" w:rsidRPr="00D17D87">
        <w:rPr>
          <w:sz w:val="22"/>
          <w:szCs w:val="22"/>
        </w:rPr>
        <w:t xml:space="preserve"> projects involving human participants</w:t>
      </w:r>
      <w:r w:rsidR="000F63DB">
        <w:rPr>
          <w:sz w:val="22"/>
          <w:szCs w:val="22"/>
        </w:rPr>
        <w:t xml:space="preserve">, and a campaign to increase the numbers of </w:t>
      </w:r>
      <w:r w:rsidR="003229C5">
        <w:rPr>
          <w:sz w:val="22"/>
          <w:szCs w:val="22"/>
        </w:rPr>
        <w:tab/>
      </w:r>
      <w:r w:rsidR="000F63DB">
        <w:rPr>
          <w:sz w:val="22"/>
          <w:szCs w:val="22"/>
        </w:rPr>
        <w:t>research ethics committee members</w:t>
      </w:r>
      <w:r w:rsidR="001269FC">
        <w:rPr>
          <w:sz w:val="22"/>
          <w:szCs w:val="22"/>
        </w:rPr>
        <w:t xml:space="preserve">. Full training in the system has been provided to all </w:t>
      </w:r>
      <w:r w:rsidR="00CC04D6">
        <w:rPr>
          <w:sz w:val="22"/>
          <w:szCs w:val="22"/>
        </w:rPr>
        <w:tab/>
      </w:r>
      <w:r w:rsidR="001269FC">
        <w:rPr>
          <w:sz w:val="22"/>
          <w:szCs w:val="22"/>
        </w:rPr>
        <w:t>reviewers and going forward will form part of our embedded reviewer</w:t>
      </w:r>
      <w:r w:rsidR="00CC04D6">
        <w:rPr>
          <w:sz w:val="22"/>
          <w:szCs w:val="22"/>
        </w:rPr>
        <w:t xml:space="preserve"> </w:t>
      </w:r>
      <w:r w:rsidR="001269FC">
        <w:rPr>
          <w:sz w:val="22"/>
          <w:szCs w:val="22"/>
        </w:rPr>
        <w:t>/</w:t>
      </w:r>
      <w:r w:rsidR="00CC04D6">
        <w:rPr>
          <w:sz w:val="22"/>
          <w:szCs w:val="22"/>
        </w:rPr>
        <w:t xml:space="preserve"> </w:t>
      </w:r>
      <w:r w:rsidR="001269FC">
        <w:rPr>
          <w:sz w:val="22"/>
          <w:szCs w:val="22"/>
        </w:rPr>
        <w:t xml:space="preserve">Co-Chair induction </w:t>
      </w:r>
      <w:r w:rsidR="00CC04D6">
        <w:rPr>
          <w:sz w:val="22"/>
          <w:szCs w:val="22"/>
        </w:rPr>
        <w:tab/>
      </w:r>
      <w:r w:rsidR="001269FC">
        <w:rPr>
          <w:sz w:val="22"/>
          <w:szCs w:val="22"/>
        </w:rPr>
        <w:t xml:space="preserve">processes. </w:t>
      </w:r>
    </w:p>
    <w:p w14:paraId="455CA9F4" w14:textId="77777777" w:rsidR="009C3C00" w:rsidRDefault="009C3C00" w:rsidP="009C3C00">
      <w:pPr>
        <w:pStyle w:val="ListParagraph"/>
        <w:ind w:left="360"/>
        <w:rPr>
          <w:sz w:val="22"/>
          <w:szCs w:val="22"/>
        </w:rPr>
      </w:pPr>
    </w:p>
    <w:p w14:paraId="0EF0DBC5" w14:textId="77777777" w:rsidR="009C3C00" w:rsidRDefault="00AD3E9A" w:rsidP="00F61FE8">
      <w:pPr>
        <w:pStyle w:val="ListParagraph"/>
        <w:ind w:left="360"/>
        <w:rPr>
          <w:sz w:val="22"/>
          <w:szCs w:val="22"/>
        </w:rPr>
      </w:pPr>
      <w:r>
        <w:rPr>
          <w:sz w:val="22"/>
          <w:szCs w:val="22"/>
        </w:rPr>
        <w:tab/>
      </w:r>
      <w:r w:rsidR="000F63DB">
        <w:rPr>
          <w:sz w:val="22"/>
          <w:szCs w:val="22"/>
        </w:rPr>
        <w:t>Going forward, it is anticipated that</w:t>
      </w:r>
      <w:r w:rsidR="00235FE1">
        <w:rPr>
          <w:sz w:val="22"/>
          <w:szCs w:val="22"/>
        </w:rPr>
        <w:t xml:space="preserve"> the</w:t>
      </w:r>
      <w:r w:rsidR="000F63DB">
        <w:rPr>
          <w:sz w:val="22"/>
          <w:szCs w:val="22"/>
        </w:rPr>
        <w:t xml:space="preserve"> ERM and the related process improvements will </w:t>
      </w:r>
      <w:r w:rsidR="003229C5">
        <w:rPr>
          <w:sz w:val="22"/>
          <w:szCs w:val="22"/>
        </w:rPr>
        <w:tab/>
      </w:r>
      <w:r w:rsidR="000F63DB">
        <w:rPr>
          <w:sz w:val="22"/>
          <w:szCs w:val="22"/>
        </w:rPr>
        <w:t xml:space="preserve">further </w:t>
      </w:r>
      <w:r>
        <w:rPr>
          <w:sz w:val="22"/>
          <w:szCs w:val="22"/>
        </w:rPr>
        <w:tab/>
      </w:r>
      <w:r w:rsidR="000F63DB">
        <w:rPr>
          <w:sz w:val="22"/>
          <w:szCs w:val="22"/>
        </w:rPr>
        <w:t xml:space="preserve">improve turn-around-times to the academy, and this will be measured in an iterative </w:t>
      </w:r>
      <w:r w:rsidR="003229C5">
        <w:rPr>
          <w:sz w:val="22"/>
          <w:szCs w:val="22"/>
        </w:rPr>
        <w:tab/>
      </w:r>
      <w:r w:rsidR="000F63DB">
        <w:rPr>
          <w:sz w:val="22"/>
          <w:szCs w:val="22"/>
        </w:rPr>
        <w:t>process of review and improvement during the 22</w:t>
      </w:r>
      <w:r w:rsidR="00CC04D6">
        <w:rPr>
          <w:sz w:val="22"/>
          <w:szCs w:val="22"/>
        </w:rPr>
        <w:t xml:space="preserve"> </w:t>
      </w:r>
      <w:r w:rsidR="000F63DB">
        <w:rPr>
          <w:sz w:val="22"/>
          <w:szCs w:val="22"/>
        </w:rPr>
        <w:t>/</w:t>
      </w:r>
      <w:r w:rsidR="00CC04D6">
        <w:rPr>
          <w:sz w:val="22"/>
          <w:szCs w:val="22"/>
        </w:rPr>
        <w:t xml:space="preserve"> </w:t>
      </w:r>
      <w:r w:rsidR="000F63DB">
        <w:rPr>
          <w:sz w:val="22"/>
          <w:szCs w:val="22"/>
        </w:rPr>
        <w:t xml:space="preserve">23 period. </w:t>
      </w:r>
    </w:p>
    <w:p w14:paraId="492BDE25" w14:textId="77777777" w:rsidR="0080122C" w:rsidRDefault="0080122C" w:rsidP="00AD3E9A">
      <w:pPr>
        <w:pStyle w:val="ListParagraph"/>
        <w:ind w:left="0"/>
        <w:rPr>
          <w:sz w:val="22"/>
          <w:szCs w:val="22"/>
        </w:rPr>
      </w:pPr>
    </w:p>
    <w:p w14:paraId="32F61985" w14:textId="77777777" w:rsidR="0080122C" w:rsidRDefault="0080122C" w:rsidP="0080122C">
      <w:pPr>
        <w:pStyle w:val="ListParagraph"/>
        <w:ind w:left="360"/>
        <w:rPr>
          <w:sz w:val="22"/>
          <w:szCs w:val="22"/>
        </w:rPr>
      </w:pPr>
    </w:p>
    <w:p w14:paraId="263DC242" w14:textId="77777777" w:rsidR="00C27996" w:rsidRPr="00CA7A12" w:rsidRDefault="0080122C" w:rsidP="0080122C">
      <w:pPr>
        <w:pStyle w:val="ListParagraph"/>
        <w:ind w:left="0"/>
        <w:rPr>
          <w:sz w:val="22"/>
          <w:szCs w:val="22"/>
        </w:rPr>
      </w:pPr>
      <w:r>
        <w:rPr>
          <w:sz w:val="22"/>
          <w:szCs w:val="22"/>
        </w:rPr>
        <w:t xml:space="preserve">3.2    </w:t>
      </w:r>
      <w:r w:rsidR="00C27996" w:rsidRPr="00CA7A12">
        <w:rPr>
          <w:sz w:val="22"/>
          <w:szCs w:val="22"/>
        </w:rPr>
        <w:t xml:space="preserve">Training and Development </w:t>
      </w:r>
    </w:p>
    <w:p w14:paraId="2A5227A2" w14:textId="77777777" w:rsidR="00FC27C8" w:rsidRDefault="00FC27C8" w:rsidP="00D001C1">
      <w:pPr>
        <w:pStyle w:val="ListParagraph"/>
        <w:ind w:left="709" w:hanging="709"/>
        <w:rPr>
          <w:sz w:val="22"/>
          <w:szCs w:val="22"/>
        </w:rPr>
      </w:pPr>
    </w:p>
    <w:p w14:paraId="2CC73A89" w14:textId="77777777" w:rsidR="0040611B" w:rsidRDefault="0040611B" w:rsidP="00D001C1">
      <w:pPr>
        <w:pStyle w:val="ListParagraph"/>
        <w:ind w:left="709"/>
        <w:rPr>
          <w:sz w:val="22"/>
          <w:szCs w:val="22"/>
        </w:rPr>
      </w:pPr>
      <w:r>
        <w:rPr>
          <w:sz w:val="22"/>
          <w:szCs w:val="22"/>
        </w:rPr>
        <w:t xml:space="preserve">A wide range of research integrity training and development activities have been delivered during </w:t>
      </w:r>
      <w:r w:rsidR="00235FE1">
        <w:rPr>
          <w:sz w:val="22"/>
          <w:szCs w:val="22"/>
        </w:rPr>
        <w:t>20</w:t>
      </w:r>
      <w:r>
        <w:rPr>
          <w:sz w:val="22"/>
          <w:szCs w:val="22"/>
        </w:rPr>
        <w:t>21</w:t>
      </w:r>
      <w:r w:rsidR="002C1829">
        <w:rPr>
          <w:sz w:val="22"/>
          <w:szCs w:val="22"/>
        </w:rPr>
        <w:t xml:space="preserve"> / </w:t>
      </w:r>
      <w:r w:rsidR="00235FE1">
        <w:rPr>
          <w:sz w:val="22"/>
          <w:szCs w:val="22"/>
        </w:rPr>
        <w:t>20</w:t>
      </w:r>
      <w:r>
        <w:rPr>
          <w:sz w:val="22"/>
          <w:szCs w:val="22"/>
        </w:rPr>
        <w:t>22</w:t>
      </w:r>
      <w:r w:rsidR="0080122C">
        <w:rPr>
          <w:sz w:val="22"/>
          <w:szCs w:val="22"/>
        </w:rPr>
        <w:t xml:space="preserve">, </w:t>
      </w:r>
      <w:r>
        <w:rPr>
          <w:sz w:val="22"/>
          <w:szCs w:val="22"/>
        </w:rPr>
        <w:t>including: comprehensive online training courses that are free at the point of use for all University staff and students</w:t>
      </w:r>
      <w:r w:rsidR="000F63DB">
        <w:rPr>
          <w:sz w:val="22"/>
          <w:szCs w:val="22"/>
        </w:rPr>
        <w:t xml:space="preserve">, </w:t>
      </w:r>
      <w:r w:rsidR="004D47A0">
        <w:rPr>
          <w:sz w:val="22"/>
          <w:szCs w:val="22"/>
        </w:rPr>
        <w:t xml:space="preserve">providing </w:t>
      </w:r>
      <w:r>
        <w:rPr>
          <w:sz w:val="22"/>
          <w:szCs w:val="22"/>
        </w:rPr>
        <w:t>a</w:t>
      </w:r>
      <w:r w:rsidR="0080122C">
        <w:rPr>
          <w:sz w:val="22"/>
          <w:szCs w:val="22"/>
        </w:rPr>
        <w:t>n</w:t>
      </w:r>
      <w:r>
        <w:rPr>
          <w:sz w:val="22"/>
          <w:szCs w:val="22"/>
        </w:rPr>
        <w:t xml:space="preserve"> introduction into research ethics, integrity, and good research conduct. This provision is proactively communicated to the research community and utilised for research induction and ongoing development. During the reporting period, the University further strengthened its online training provision via the purchase of </w:t>
      </w:r>
      <w:r w:rsidR="00BC6B19">
        <w:rPr>
          <w:sz w:val="22"/>
          <w:szCs w:val="22"/>
        </w:rPr>
        <w:t xml:space="preserve">the </w:t>
      </w:r>
      <w:r w:rsidR="00657F4D">
        <w:rPr>
          <w:sz w:val="22"/>
          <w:szCs w:val="22"/>
        </w:rPr>
        <w:t>updated</w:t>
      </w:r>
      <w:r>
        <w:rPr>
          <w:sz w:val="22"/>
          <w:szCs w:val="22"/>
        </w:rPr>
        <w:t xml:space="preserve"> Epigeum </w:t>
      </w:r>
      <w:r w:rsidR="0080122C">
        <w:rPr>
          <w:sz w:val="22"/>
          <w:szCs w:val="22"/>
        </w:rPr>
        <w:t xml:space="preserve">Research Integrity </w:t>
      </w:r>
      <w:r>
        <w:rPr>
          <w:sz w:val="22"/>
          <w:szCs w:val="22"/>
        </w:rPr>
        <w:t>modules</w:t>
      </w:r>
      <w:r w:rsidR="0080122C">
        <w:rPr>
          <w:sz w:val="22"/>
          <w:szCs w:val="22"/>
        </w:rPr>
        <w:t>.</w:t>
      </w:r>
    </w:p>
    <w:p w14:paraId="721D5496" w14:textId="77777777" w:rsidR="0040611B" w:rsidRDefault="0040611B" w:rsidP="00D001C1">
      <w:pPr>
        <w:pStyle w:val="ListParagraph"/>
        <w:ind w:left="709"/>
        <w:rPr>
          <w:sz w:val="22"/>
          <w:szCs w:val="22"/>
        </w:rPr>
      </w:pPr>
    </w:p>
    <w:p w14:paraId="6A42EEE2" w14:textId="77777777" w:rsidR="00395584" w:rsidRDefault="0040611B" w:rsidP="00AD3E9A">
      <w:pPr>
        <w:pStyle w:val="ListParagraph"/>
        <w:ind w:left="709" w:firstLine="11"/>
        <w:rPr>
          <w:sz w:val="22"/>
          <w:szCs w:val="22"/>
        </w:rPr>
      </w:pPr>
      <w:r>
        <w:rPr>
          <w:sz w:val="22"/>
          <w:szCs w:val="22"/>
        </w:rPr>
        <w:t>Face to face training is also provided</w:t>
      </w:r>
      <w:r w:rsidR="00A337CD">
        <w:rPr>
          <w:sz w:val="22"/>
          <w:szCs w:val="22"/>
        </w:rPr>
        <w:t xml:space="preserve"> </w:t>
      </w:r>
      <w:r w:rsidR="004D47A0">
        <w:rPr>
          <w:sz w:val="22"/>
          <w:szCs w:val="22"/>
        </w:rPr>
        <w:t xml:space="preserve">to staff and student researchers </w:t>
      </w:r>
      <w:r w:rsidR="00A337CD">
        <w:rPr>
          <w:sz w:val="22"/>
          <w:szCs w:val="22"/>
        </w:rPr>
        <w:t xml:space="preserve">by the central </w:t>
      </w:r>
      <w:r w:rsidR="004D47A0">
        <w:rPr>
          <w:sz w:val="22"/>
          <w:szCs w:val="22"/>
        </w:rPr>
        <w:t>REGT</w:t>
      </w:r>
      <w:r w:rsidR="00AD3E9A">
        <w:rPr>
          <w:sz w:val="22"/>
          <w:szCs w:val="22"/>
        </w:rPr>
        <w:t xml:space="preserve"> in collaboration with other Professional Services </w:t>
      </w:r>
      <w:r w:rsidR="00235FE1">
        <w:rPr>
          <w:sz w:val="22"/>
          <w:szCs w:val="22"/>
        </w:rPr>
        <w:t>t</w:t>
      </w:r>
      <w:r w:rsidR="00AD3E9A">
        <w:rPr>
          <w:sz w:val="22"/>
          <w:szCs w:val="22"/>
        </w:rPr>
        <w:t>eams</w:t>
      </w:r>
      <w:r>
        <w:rPr>
          <w:sz w:val="22"/>
          <w:szCs w:val="22"/>
        </w:rPr>
        <w:t>,</w:t>
      </w:r>
      <w:r w:rsidR="00A337CD">
        <w:rPr>
          <w:sz w:val="22"/>
          <w:szCs w:val="22"/>
        </w:rPr>
        <w:t xml:space="preserve"> including for example</w:t>
      </w:r>
      <w:r w:rsidRPr="0040611B">
        <w:rPr>
          <w:sz w:val="22"/>
          <w:szCs w:val="22"/>
        </w:rPr>
        <w:t xml:space="preserve"> courses on research ethics and</w:t>
      </w:r>
      <w:r w:rsidR="00AD3E9A">
        <w:rPr>
          <w:sz w:val="22"/>
          <w:szCs w:val="22"/>
        </w:rPr>
        <w:t xml:space="preserve"> </w:t>
      </w:r>
      <w:r w:rsidRPr="0040611B">
        <w:rPr>
          <w:sz w:val="22"/>
          <w:szCs w:val="22"/>
        </w:rPr>
        <w:t xml:space="preserve">integrity, including good practice requirements in line with </w:t>
      </w:r>
      <w:r w:rsidR="00A337CD">
        <w:rPr>
          <w:sz w:val="22"/>
          <w:szCs w:val="22"/>
        </w:rPr>
        <w:t>our</w:t>
      </w:r>
      <w:r w:rsidR="00A337CD" w:rsidRPr="0040611B">
        <w:rPr>
          <w:sz w:val="22"/>
          <w:szCs w:val="22"/>
        </w:rPr>
        <w:t xml:space="preserve"> </w:t>
      </w:r>
      <w:r w:rsidRPr="0040611B">
        <w:rPr>
          <w:sz w:val="22"/>
          <w:szCs w:val="22"/>
        </w:rPr>
        <w:t>C</w:t>
      </w:r>
      <w:r w:rsidR="00A337CD">
        <w:rPr>
          <w:sz w:val="22"/>
          <w:szCs w:val="22"/>
        </w:rPr>
        <w:t xml:space="preserve">ode </w:t>
      </w:r>
      <w:r w:rsidRPr="0040611B">
        <w:rPr>
          <w:sz w:val="22"/>
          <w:szCs w:val="22"/>
        </w:rPr>
        <w:t>o</w:t>
      </w:r>
      <w:r w:rsidR="00A337CD">
        <w:rPr>
          <w:sz w:val="22"/>
          <w:szCs w:val="22"/>
        </w:rPr>
        <w:t xml:space="preserve">f </w:t>
      </w:r>
      <w:r w:rsidRPr="0040611B">
        <w:rPr>
          <w:sz w:val="22"/>
          <w:szCs w:val="22"/>
        </w:rPr>
        <w:t>P</w:t>
      </w:r>
      <w:r w:rsidR="00A337CD">
        <w:rPr>
          <w:sz w:val="22"/>
          <w:szCs w:val="22"/>
        </w:rPr>
        <w:t>ractice</w:t>
      </w:r>
      <w:r w:rsidRPr="0040611B">
        <w:rPr>
          <w:sz w:val="22"/>
          <w:szCs w:val="22"/>
        </w:rPr>
        <w:t xml:space="preserve"> for Research,</w:t>
      </w:r>
      <w:r w:rsidR="00AD3E9A">
        <w:rPr>
          <w:sz w:val="22"/>
          <w:szCs w:val="22"/>
        </w:rPr>
        <w:t xml:space="preserve"> </w:t>
      </w:r>
      <w:r w:rsidRPr="0040611B">
        <w:rPr>
          <w:sz w:val="22"/>
          <w:szCs w:val="22"/>
        </w:rPr>
        <w:t>animal research training provisions, research data management courses, research methodology and research skills training</w:t>
      </w:r>
      <w:r w:rsidR="009F5F1F">
        <w:rPr>
          <w:sz w:val="22"/>
          <w:szCs w:val="22"/>
        </w:rPr>
        <w:t xml:space="preserve">. </w:t>
      </w:r>
      <w:r>
        <w:rPr>
          <w:sz w:val="22"/>
          <w:szCs w:val="22"/>
        </w:rPr>
        <w:t xml:space="preserve"> </w:t>
      </w:r>
    </w:p>
    <w:p w14:paraId="24D33FA0" w14:textId="77777777" w:rsidR="00395584" w:rsidRDefault="00395584" w:rsidP="00AD3E9A">
      <w:pPr>
        <w:pStyle w:val="ListParagraph"/>
        <w:ind w:left="709" w:firstLine="11"/>
        <w:rPr>
          <w:sz w:val="22"/>
          <w:szCs w:val="22"/>
        </w:rPr>
      </w:pPr>
    </w:p>
    <w:p w14:paraId="573CA9B3" w14:textId="77777777" w:rsidR="000068AF" w:rsidRDefault="00A337CD" w:rsidP="00AD3E9A">
      <w:pPr>
        <w:pStyle w:val="ListParagraph"/>
        <w:ind w:left="709" w:firstLine="11"/>
        <w:rPr>
          <w:sz w:val="22"/>
          <w:szCs w:val="22"/>
        </w:rPr>
      </w:pPr>
      <w:r>
        <w:rPr>
          <w:sz w:val="22"/>
          <w:szCs w:val="22"/>
        </w:rPr>
        <w:t xml:space="preserve">This complements the institutional </w:t>
      </w:r>
      <w:r w:rsidR="009F5F1F">
        <w:rPr>
          <w:sz w:val="22"/>
          <w:szCs w:val="22"/>
        </w:rPr>
        <w:t xml:space="preserve">mandatory (all staff) </w:t>
      </w:r>
      <w:r>
        <w:rPr>
          <w:sz w:val="22"/>
          <w:szCs w:val="22"/>
        </w:rPr>
        <w:t xml:space="preserve">provision that is available </w:t>
      </w:r>
      <w:r w:rsidRPr="0090752D">
        <w:rPr>
          <w:sz w:val="22"/>
          <w:szCs w:val="22"/>
        </w:rPr>
        <w:t>for audiences across</w:t>
      </w:r>
      <w:r w:rsidR="00AD3E9A">
        <w:rPr>
          <w:sz w:val="22"/>
          <w:szCs w:val="22"/>
        </w:rPr>
        <w:t xml:space="preserve"> </w:t>
      </w:r>
      <w:r w:rsidRPr="0090752D">
        <w:rPr>
          <w:sz w:val="22"/>
          <w:szCs w:val="22"/>
        </w:rPr>
        <w:t>campus</w:t>
      </w:r>
      <w:r w:rsidR="009F5F1F">
        <w:rPr>
          <w:sz w:val="22"/>
          <w:szCs w:val="22"/>
        </w:rPr>
        <w:t xml:space="preserve">: </w:t>
      </w:r>
      <w:r w:rsidRPr="00CA7A12">
        <w:rPr>
          <w:sz w:val="22"/>
          <w:szCs w:val="22"/>
        </w:rPr>
        <w:t>Data pr</w:t>
      </w:r>
      <w:r>
        <w:rPr>
          <w:sz w:val="22"/>
          <w:szCs w:val="22"/>
        </w:rPr>
        <w:t>otection and GDPR, Information Security, H</w:t>
      </w:r>
      <w:r w:rsidR="00235FE1">
        <w:rPr>
          <w:sz w:val="22"/>
          <w:szCs w:val="22"/>
        </w:rPr>
        <w:t xml:space="preserve">ealth </w:t>
      </w:r>
      <w:r>
        <w:rPr>
          <w:sz w:val="22"/>
          <w:szCs w:val="22"/>
        </w:rPr>
        <w:t>&amp;</w:t>
      </w:r>
      <w:r w:rsidR="00235FE1">
        <w:rPr>
          <w:sz w:val="22"/>
          <w:szCs w:val="22"/>
        </w:rPr>
        <w:t xml:space="preserve"> </w:t>
      </w:r>
      <w:r>
        <w:rPr>
          <w:sz w:val="22"/>
          <w:szCs w:val="22"/>
        </w:rPr>
        <w:t>S</w:t>
      </w:r>
      <w:r w:rsidR="00235FE1">
        <w:rPr>
          <w:sz w:val="22"/>
          <w:szCs w:val="22"/>
        </w:rPr>
        <w:t>afety</w:t>
      </w:r>
      <w:r>
        <w:rPr>
          <w:sz w:val="22"/>
          <w:szCs w:val="22"/>
        </w:rPr>
        <w:t>, Equality</w:t>
      </w:r>
      <w:r w:rsidR="00235FE1">
        <w:rPr>
          <w:sz w:val="22"/>
          <w:szCs w:val="22"/>
        </w:rPr>
        <w:t>,</w:t>
      </w:r>
      <w:r w:rsidRPr="00CA7A12">
        <w:rPr>
          <w:sz w:val="22"/>
          <w:szCs w:val="22"/>
        </w:rPr>
        <w:t xml:space="preserve"> Diversity</w:t>
      </w:r>
      <w:r w:rsidR="00235FE1">
        <w:rPr>
          <w:sz w:val="22"/>
          <w:szCs w:val="22"/>
        </w:rPr>
        <w:t xml:space="preserve"> &amp; Inclusion</w:t>
      </w:r>
      <w:r w:rsidRPr="00CA7A12">
        <w:rPr>
          <w:sz w:val="22"/>
          <w:szCs w:val="22"/>
        </w:rPr>
        <w:t xml:space="preserve"> and fire safety. </w:t>
      </w:r>
    </w:p>
    <w:p w14:paraId="4D472A4B" w14:textId="77777777" w:rsidR="000068AF" w:rsidRDefault="000068AF" w:rsidP="00AD3E9A">
      <w:pPr>
        <w:pStyle w:val="ListParagraph"/>
        <w:ind w:left="709" w:firstLine="11"/>
        <w:rPr>
          <w:sz w:val="22"/>
          <w:szCs w:val="22"/>
        </w:rPr>
      </w:pPr>
    </w:p>
    <w:p w14:paraId="3E2E5929" w14:textId="77777777" w:rsidR="00A337CD" w:rsidRDefault="009F5F1F" w:rsidP="00AD3E9A">
      <w:pPr>
        <w:pStyle w:val="ListParagraph"/>
        <w:ind w:left="709" w:firstLine="11"/>
        <w:rPr>
          <w:sz w:val="22"/>
          <w:szCs w:val="22"/>
        </w:rPr>
      </w:pPr>
      <w:r>
        <w:rPr>
          <w:sz w:val="22"/>
          <w:szCs w:val="22"/>
        </w:rPr>
        <w:t>A</w:t>
      </w:r>
      <w:r w:rsidR="00A337CD">
        <w:rPr>
          <w:sz w:val="22"/>
          <w:szCs w:val="22"/>
        </w:rPr>
        <w:t xml:space="preserve">t a more informal level, there is </w:t>
      </w:r>
      <w:r>
        <w:rPr>
          <w:sz w:val="22"/>
          <w:szCs w:val="22"/>
        </w:rPr>
        <w:t xml:space="preserve">a </w:t>
      </w:r>
      <w:r w:rsidR="00A337CD">
        <w:rPr>
          <w:sz w:val="22"/>
          <w:szCs w:val="22"/>
        </w:rPr>
        <w:t>provision within the Schools</w:t>
      </w:r>
      <w:r>
        <w:rPr>
          <w:sz w:val="22"/>
          <w:szCs w:val="22"/>
        </w:rPr>
        <w:t xml:space="preserve"> </w:t>
      </w:r>
      <w:r w:rsidR="00A337CD">
        <w:rPr>
          <w:sz w:val="22"/>
          <w:szCs w:val="22"/>
        </w:rPr>
        <w:t>/</w:t>
      </w:r>
      <w:r>
        <w:rPr>
          <w:sz w:val="22"/>
          <w:szCs w:val="22"/>
        </w:rPr>
        <w:t xml:space="preserve"> </w:t>
      </w:r>
      <w:r w:rsidR="00A337CD">
        <w:rPr>
          <w:sz w:val="22"/>
          <w:szCs w:val="22"/>
        </w:rPr>
        <w:t xml:space="preserve">Colleges for more informal 1-1 and small group sessions for research staff and students to seek guidance and support on issues pertinent to their research. During the reporting period this training has included </w:t>
      </w:r>
      <w:r w:rsidR="001269FC">
        <w:rPr>
          <w:sz w:val="22"/>
          <w:szCs w:val="22"/>
        </w:rPr>
        <w:t xml:space="preserve">a tailored session for colleagues in the University’s new Dubai campus, and development and support to MSc students and PGRs in the Medical School and MRes and PGR students form the Schools of </w:t>
      </w:r>
      <w:r w:rsidR="00AD3E9A">
        <w:rPr>
          <w:sz w:val="22"/>
          <w:szCs w:val="22"/>
        </w:rPr>
        <w:t>Psychology</w:t>
      </w:r>
      <w:r w:rsidR="001269FC">
        <w:rPr>
          <w:sz w:val="22"/>
          <w:szCs w:val="22"/>
        </w:rPr>
        <w:t xml:space="preserve"> and Biosciences. </w:t>
      </w:r>
    </w:p>
    <w:p w14:paraId="131F528A" w14:textId="77777777" w:rsidR="00AD3E9A" w:rsidRPr="00CA7A12" w:rsidRDefault="00AD3E9A" w:rsidP="00AD3E9A">
      <w:pPr>
        <w:pStyle w:val="ListParagraph"/>
        <w:spacing w:after="160" w:line="259" w:lineRule="auto"/>
        <w:ind w:left="1069"/>
        <w:rPr>
          <w:sz w:val="22"/>
          <w:szCs w:val="22"/>
        </w:rPr>
      </w:pPr>
    </w:p>
    <w:p w14:paraId="33AE270A" w14:textId="77777777" w:rsidR="00E84183" w:rsidRDefault="00E84183" w:rsidP="00E84183">
      <w:pPr>
        <w:pStyle w:val="ListParagraph"/>
        <w:ind w:left="0"/>
        <w:rPr>
          <w:rStyle w:val="Hyperlink"/>
          <w:rFonts w:cs="Arial"/>
          <w:sz w:val="22"/>
          <w:szCs w:val="22"/>
        </w:rPr>
      </w:pPr>
    </w:p>
    <w:p w14:paraId="3B1C793C" w14:textId="77777777" w:rsidR="00DE1780" w:rsidRPr="00961DA5" w:rsidRDefault="00961DA5" w:rsidP="00E84183">
      <w:pPr>
        <w:pStyle w:val="ListParagraph"/>
        <w:ind w:left="0"/>
        <w:rPr>
          <w:sz w:val="22"/>
          <w:szCs w:val="22"/>
        </w:rPr>
      </w:pPr>
      <w:r w:rsidRPr="00961DA5">
        <w:rPr>
          <w:rStyle w:val="Hyperlink"/>
          <w:rFonts w:cs="Arial"/>
          <w:color w:val="auto"/>
          <w:sz w:val="22"/>
          <w:szCs w:val="22"/>
          <w:u w:val="none"/>
        </w:rPr>
        <w:t>3.3</w:t>
      </w:r>
      <w:r w:rsidRPr="00961DA5">
        <w:rPr>
          <w:rStyle w:val="Hyperlink"/>
          <w:rFonts w:cs="Arial"/>
          <w:color w:val="auto"/>
          <w:sz w:val="22"/>
          <w:szCs w:val="22"/>
          <w:u w:val="none"/>
        </w:rPr>
        <w:tab/>
        <w:t xml:space="preserve">Quality Assurance and Risk Management </w:t>
      </w:r>
    </w:p>
    <w:p w14:paraId="4E63BB07" w14:textId="77777777" w:rsidR="00DE1780" w:rsidRPr="00CA7A12" w:rsidRDefault="00DE1780" w:rsidP="00DE1780">
      <w:pPr>
        <w:pStyle w:val="ListParagraph"/>
        <w:rPr>
          <w:sz w:val="22"/>
          <w:szCs w:val="22"/>
        </w:rPr>
      </w:pPr>
    </w:p>
    <w:p w14:paraId="630AD947" w14:textId="77777777" w:rsidR="00DE1780" w:rsidRDefault="00DE1780" w:rsidP="005B59AC">
      <w:pPr>
        <w:pStyle w:val="ListParagraph"/>
        <w:rPr>
          <w:sz w:val="22"/>
          <w:szCs w:val="22"/>
        </w:rPr>
      </w:pPr>
      <w:r w:rsidRPr="00CA7A12">
        <w:rPr>
          <w:sz w:val="22"/>
          <w:szCs w:val="22"/>
        </w:rPr>
        <w:t>T</w:t>
      </w:r>
      <w:r w:rsidR="001269FC">
        <w:rPr>
          <w:sz w:val="22"/>
          <w:szCs w:val="22"/>
        </w:rPr>
        <w:t xml:space="preserve">he University has a </w:t>
      </w:r>
      <w:r w:rsidR="009F5F1F">
        <w:rPr>
          <w:sz w:val="22"/>
          <w:szCs w:val="22"/>
        </w:rPr>
        <w:t>well-established</w:t>
      </w:r>
      <w:r w:rsidR="001269FC">
        <w:rPr>
          <w:sz w:val="22"/>
          <w:szCs w:val="22"/>
        </w:rPr>
        <w:t xml:space="preserve"> Quality Assurance </w:t>
      </w:r>
      <w:r w:rsidR="009F5F1F">
        <w:rPr>
          <w:sz w:val="22"/>
          <w:szCs w:val="22"/>
        </w:rPr>
        <w:t xml:space="preserve">and </w:t>
      </w:r>
      <w:r w:rsidR="001269FC">
        <w:rPr>
          <w:sz w:val="22"/>
          <w:szCs w:val="22"/>
        </w:rPr>
        <w:t xml:space="preserve">Risk Management framework, </w:t>
      </w:r>
      <w:r w:rsidR="005B59AC">
        <w:rPr>
          <w:sz w:val="22"/>
          <w:szCs w:val="22"/>
        </w:rPr>
        <w:t>including with regards to</w:t>
      </w:r>
      <w:r w:rsidR="00AD3E9A">
        <w:rPr>
          <w:sz w:val="22"/>
          <w:szCs w:val="22"/>
        </w:rPr>
        <w:t xml:space="preserve"> research</w:t>
      </w:r>
      <w:r w:rsidR="005B59AC">
        <w:rPr>
          <w:sz w:val="22"/>
          <w:szCs w:val="22"/>
        </w:rPr>
        <w:t xml:space="preserve"> ethics </w:t>
      </w:r>
      <w:r w:rsidR="009F5F1F">
        <w:rPr>
          <w:sz w:val="22"/>
          <w:szCs w:val="22"/>
        </w:rPr>
        <w:t xml:space="preserve">and governance </w:t>
      </w:r>
      <w:r w:rsidR="005B59AC">
        <w:rPr>
          <w:sz w:val="22"/>
          <w:szCs w:val="22"/>
        </w:rPr>
        <w:t xml:space="preserve">review, </w:t>
      </w:r>
      <w:r w:rsidR="001269FC">
        <w:rPr>
          <w:sz w:val="22"/>
          <w:szCs w:val="22"/>
        </w:rPr>
        <w:t xml:space="preserve">that is overseen at an institutional level by the central </w:t>
      </w:r>
      <w:r w:rsidR="009F5F1F">
        <w:rPr>
          <w:sz w:val="22"/>
          <w:szCs w:val="22"/>
        </w:rPr>
        <w:t>REGT</w:t>
      </w:r>
      <w:r w:rsidR="001269FC">
        <w:rPr>
          <w:sz w:val="22"/>
          <w:szCs w:val="22"/>
        </w:rPr>
        <w:t xml:space="preserve">, with specific attention being provided to </w:t>
      </w:r>
      <w:r w:rsidR="001F09E7">
        <w:rPr>
          <w:sz w:val="22"/>
          <w:szCs w:val="22"/>
        </w:rPr>
        <w:t xml:space="preserve">studies that involve </w:t>
      </w:r>
      <w:r w:rsidRPr="00CA7A12">
        <w:rPr>
          <w:sz w:val="22"/>
          <w:szCs w:val="22"/>
        </w:rPr>
        <w:t>human participants, their data and/or tissue</w:t>
      </w:r>
      <w:r w:rsidR="00D50053">
        <w:rPr>
          <w:sz w:val="22"/>
          <w:szCs w:val="22"/>
        </w:rPr>
        <w:t xml:space="preserve">. A </w:t>
      </w:r>
      <w:r w:rsidRPr="00CA7A12">
        <w:rPr>
          <w:sz w:val="22"/>
          <w:szCs w:val="22"/>
        </w:rPr>
        <w:t xml:space="preserve">close liaison with researchers, administrators, collaborators and regulatory bodies fosters a positive culture of research integrity as encouraged by the Concordat to </w:t>
      </w:r>
      <w:r w:rsidR="00235FE1">
        <w:rPr>
          <w:sz w:val="22"/>
          <w:szCs w:val="22"/>
        </w:rPr>
        <w:t>S</w:t>
      </w:r>
      <w:r w:rsidRPr="00CA7A12">
        <w:rPr>
          <w:sz w:val="22"/>
          <w:szCs w:val="22"/>
        </w:rPr>
        <w:t xml:space="preserve">upport </w:t>
      </w:r>
      <w:r w:rsidR="00235FE1">
        <w:rPr>
          <w:sz w:val="22"/>
          <w:szCs w:val="22"/>
        </w:rPr>
        <w:t>R</w:t>
      </w:r>
      <w:r w:rsidRPr="00CA7A12">
        <w:rPr>
          <w:sz w:val="22"/>
          <w:szCs w:val="22"/>
        </w:rPr>
        <w:t xml:space="preserve">esearch </w:t>
      </w:r>
      <w:r w:rsidR="00235FE1">
        <w:rPr>
          <w:sz w:val="22"/>
          <w:szCs w:val="22"/>
        </w:rPr>
        <w:t>I</w:t>
      </w:r>
      <w:r w:rsidRPr="00CA7A12">
        <w:rPr>
          <w:sz w:val="22"/>
          <w:szCs w:val="22"/>
        </w:rPr>
        <w:t xml:space="preserve">ntegrity. </w:t>
      </w:r>
      <w:r w:rsidR="005B59AC">
        <w:rPr>
          <w:sz w:val="22"/>
          <w:szCs w:val="22"/>
        </w:rPr>
        <w:t xml:space="preserve">During the </w:t>
      </w:r>
      <w:r w:rsidR="00235FE1">
        <w:rPr>
          <w:sz w:val="22"/>
          <w:szCs w:val="22"/>
        </w:rPr>
        <w:t>20</w:t>
      </w:r>
      <w:r w:rsidR="005B59AC">
        <w:rPr>
          <w:sz w:val="22"/>
          <w:szCs w:val="22"/>
        </w:rPr>
        <w:t>21</w:t>
      </w:r>
      <w:r w:rsidR="009F5F1F">
        <w:rPr>
          <w:sz w:val="22"/>
          <w:szCs w:val="22"/>
        </w:rPr>
        <w:t xml:space="preserve"> </w:t>
      </w:r>
      <w:r w:rsidR="005B59AC">
        <w:rPr>
          <w:sz w:val="22"/>
          <w:szCs w:val="22"/>
        </w:rPr>
        <w:t>/</w:t>
      </w:r>
      <w:r w:rsidR="009F5F1F">
        <w:rPr>
          <w:sz w:val="22"/>
          <w:szCs w:val="22"/>
        </w:rPr>
        <w:t xml:space="preserve"> </w:t>
      </w:r>
      <w:r w:rsidR="00235FE1">
        <w:rPr>
          <w:sz w:val="22"/>
          <w:szCs w:val="22"/>
        </w:rPr>
        <w:t>20</w:t>
      </w:r>
      <w:r w:rsidR="005B59AC">
        <w:rPr>
          <w:sz w:val="22"/>
          <w:szCs w:val="22"/>
        </w:rPr>
        <w:t xml:space="preserve">22 period </w:t>
      </w:r>
      <w:r w:rsidR="001A2F71">
        <w:rPr>
          <w:sz w:val="22"/>
          <w:szCs w:val="22"/>
        </w:rPr>
        <w:t>1</w:t>
      </w:r>
      <w:r w:rsidR="00593E8D">
        <w:rPr>
          <w:sz w:val="22"/>
          <w:szCs w:val="22"/>
        </w:rPr>
        <w:t>,</w:t>
      </w:r>
      <w:r w:rsidR="001A2F71">
        <w:rPr>
          <w:sz w:val="22"/>
          <w:szCs w:val="22"/>
        </w:rPr>
        <w:t>778</w:t>
      </w:r>
      <w:r w:rsidR="005B59AC">
        <w:rPr>
          <w:sz w:val="22"/>
          <w:szCs w:val="22"/>
        </w:rPr>
        <w:t xml:space="preserve"> applications were made to the University’s Research Ethics Committee, with Table One below demonstrating how this compares with previous years</w:t>
      </w:r>
      <w:r w:rsidR="00235FE1">
        <w:rPr>
          <w:sz w:val="22"/>
          <w:szCs w:val="22"/>
        </w:rPr>
        <w:t>.</w:t>
      </w:r>
    </w:p>
    <w:p w14:paraId="323E5B8D" w14:textId="77777777" w:rsidR="005B59AC" w:rsidRDefault="005B59AC" w:rsidP="005B59AC">
      <w:pPr>
        <w:pStyle w:val="ListParagraph"/>
        <w:rPr>
          <w:sz w:val="22"/>
          <w:szCs w:val="22"/>
        </w:rPr>
      </w:pPr>
    </w:p>
    <w:p w14:paraId="1D4AF323" w14:textId="77777777" w:rsidR="00A27141" w:rsidRDefault="00A27141" w:rsidP="00DE1780">
      <w:pPr>
        <w:pStyle w:val="ListParagraph"/>
        <w:rPr>
          <w:sz w:val="22"/>
          <w:szCs w:val="22"/>
        </w:rPr>
      </w:pPr>
    </w:p>
    <w:p w14:paraId="5F5E410E" w14:textId="77777777" w:rsidR="00DE1780" w:rsidRDefault="00AB4A73" w:rsidP="00D001C1">
      <w:pPr>
        <w:pStyle w:val="ListParagraph"/>
        <w:ind w:left="0"/>
        <w:rPr>
          <w:sz w:val="22"/>
          <w:szCs w:val="22"/>
        </w:rPr>
      </w:pPr>
      <w:r>
        <w:rPr>
          <w:sz w:val="22"/>
          <w:szCs w:val="22"/>
        </w:rPr>
        <w:tab/>
      </w:r>
      <w:r w:rsidR="00A27141">
        <w:rPr>
          <w:sz w:val="22"/>
          <w:szCs w:val="22"/>
        </w:rPr>
        <w:t xml:space="preserve">Applications </w:t>
      </w:r>
      <w:r w:rsidR="001F09E7">
        <w:rPr>
          <w:sz w:val="22"/>
          <w:szCs w:val="22"/>
        </w:rPr>
        <w:t xml:space="preserve">made to </w:t>
      </w:r>
      <w:r w:rsidR="00A27141">
        <w:rPr>
          <w:sz w:val="22"/>
          <w:szCs w:val="22"/>
        </w:rPr>
        <w:t xml:space="preserve">the </w:t>
      </w:r>
      <w:r w:rsidR="001F09E7">
        <w:rPr>
          <w:sz w:val="22"/>
          <w:szCs w:val="22"/>
        </w:rPr>
        <w:t xml:space="preserve">University </w:t>
      </w:r>
      <w:r w:rsidR="00A27141">
        <w:rPr>
          <w:sz w:val="22"/>
          <w:szCs w:val="22"/>
        </w:rPr>
        <w:t>Research Ethics Committee (PG</w:t>
      </w:r>
      <w:r w:rsidR="000068AF">
        <w:rPr>
          <w:sz w:val="22"/>
          <w:szCs w:val="22"/>
        </w:rPr>
        <w:t>R</w:t>
      </w:r>
      <w:r w:rsidR="00A27141">
        <w:rPr>
          <w:sz w:val="22"/>
          <w:szCs w:val="22"/>
        </w:rPr>
        <w:t xml:space="preserve"> / Staff research) </w:t>
      </w:r>
    </w:p>
    <w:p w14:paraId="3DF2B0E5" w14:textId="77777777" w:rsidR="00356F14" w:rsidRDefault="00356F14" w:rsidP="00DE1780">
      <w:pPr>
        <w:pStyle w:val="ListParagraph"/>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0"/>
        <w:gridCol w:w="1638"/>
        <w:gridCol w:w="1752"/>
        <w:gridCol w:w="1753"/>
        <w:gridCol w:w="1394"/>
      </w:tblGrid>
      <w:tr w:rsidR="00ED0D27" w:rsidRPr="00FF7028" w14:paraId="7B41CA38" w14:textId="77777777" w:rsidTr="00ED0D27">
        <w:tc>
          <w:tcPr>
            <w:tcW w:w="2261" w:type="dxa"/>
            <w:tcMar>
              <w:top w:w="0" w:type="dxa"/>
              <w:left w:w="108" w:type="dxa"/>
              <w:bottom w:w="0" w:type="dxa"/>
              <w:right w:w="108" w:type="dxa"/>
            </w:tcMar>
          </w:tcPr>
          <w:p w14:paraId="22790FDE" w14:textId="77777777" w:rsidR="00ED0D27" w:rsidRPr="00FF7028" w:rsidRDefault="00ED0D27" w:rsidP="0008532A">
            <w:pPr>
              <w:rPr>
                <w:sz w:val="22"/>
                <w:szCs w:val="22"/>
              </w:rPr>
            </w:pPr>
          </w:p>
        </w:tc>
        <w:tc>
          <w:tcPr>
            <w:tcW w:w="1668" w:type="dxa"/>
          </w:tcPr>
          <w:p w14:paraId="196286DA" w14:textId="77777777" w:rsidR="00ED0D27" w:rsidRDefault="00ED0D27" w:rsidP="00191444">
            <w:pPr>
              <w:jc w:val="center"/>
              <w:rPr>
                <w:sz w:val="22"/>
                <w:szCs w:val="22"/>
              </w:rPr>
            </w:pPr>
            <w:r>
              <w:rPr>
                <w:sz w:val="22"/>
                <w:szCs w:val="22"/>
              </w:rPr>
              <w:t>2021</w:t>
            </w:r>
          </w:p>
        </w:tc>
        <w:tc>
          <w:tcPr>
            <w:tcW w:w="1779" w:type="dxa"/>
            <w:tcMar>
              <w:top w:w="0" w:type="dxa"/>
              <w:left w:w="108" w:type="dxa"/>
              <w:bottom w:w="0" w:type="dxa"/>
              <w:right w:w="108" w:type="dxa"/>
            </w:tcMar>
          </w:tcPr>
          <w:p w14:paraId="73DC0C72" w14:textId="77777777" w:rsidR="00ED0D27" w:rsidRPr="00FF7028" w:rsidRDefault="00ED0D27" w:rsidP="00191444">
            <w:pPr>
              <w:jc w:val="center"/>
              <w:rPr>
                <w:sz w:val="22"/>
                <w:szCs w:val="22"/>
              </w:rPr>
            </w:pPr>
            <w:r>
              <w:rPr>
                <w:sz w:val="22"/>
                <w:szCs w:val="22"/>
              </w:rPr>
              <w:t>2020</w:t>
            </w:r>
          </w:p>
        </w:tc>
        <w:tc>
          <w:tcPr>
            <w:tcW w:w="1780" w:type="dxa"/>
            <w:tcMar>
              <w:top w:w="0" w:type="dxa"/>
              <w:left w:w="108" w:type="dxa"/>
              <w:bottom w:w="0" w:type="dxa"/>
              <w:right w:w="108" w:type="dxa"/>
            </w:tcMar>
          </w:tcPr>
          <w:p w14:paraId="5BD6548B" w14:textId="77777777" w:rsidR="00ED0D27" w:rsidRPr="00FF7028" w:rsidRDefault="00ED0D27" w:rsidP="00191444">
            <w:pPr>
              <w:jc w:val="center"/>
              <w:rPr>
                <w:sz w:val="22"/>
                <w:szCs w:val="22"/>
              </w:rPr>
            </w:pPr>
            <w:r w:rsidRPr="00FF7028">
              <w:rPr>
                <w:sz w:val="22"/>
                <w:szCs w:val="22"/>
              </w:rPr>
              <w:t>2019</w:t>
            </w:r>
          </w:p>
        </w:tc>
        <w:tc>
          <w:tcPr>
            <w:tcW w:w="1417" w:type="dxa"/>
          </w:tcPr>
          <w:p w14:paraId="48763E53" w14:textId="77777777" w:rsidR="00ED0D27" w:rsidRPr="00FF7028" w:rsidRDefault="00ED0D27" w:rsidP="00191444">
            <w:pPr>
              <w:jc w:val="center"/>
              <w:rPr>
                <w:sz w:val="22"/>
                <w:szCs w:val="22"/>
              </w:rPr>
            </w:pPr>
            <w:r w:rsidRPr="00FF7028">
              <w:rPr>
                <w:sz w:val="22"/>
                <w:szCs w:val="22"/>
              </w:rPr>
              <w:t>2018</w:t>
            </w:r>
          </w:p>
        </w:tc>
      </w:tr>
      <w:tr w:rsidR="00ED0D27" w:rsidRPr="00FF7028" w14:paraId="6A6013E2" w14:textId="77777777" w:rsidTr="003229C5">
        <w:tc>
          <w:tcPr>
            <w:tcW w:w="2261" w:type="dxa"/>
            <w:tcMar>
              <w:top w:w="0" w:type="dxa"/>
              <w:left w:w="108" w:type="dxa"/>
              <w:bottom w:w="0" w:type="dxa"/>
              <w:right w:w="108" w:type="dxa"/>
            </w:tcMar>
            <w:hideMark/>
          </w:tcPr>
          <w:p w14:paraId="25F7BEE8" w14:textId="77777777" w:rsidR="00ED0D27" w:rsidRPr="00FF7028" w:rsidRDefault="00ED0D27" w:rsidP="0008532A">
            <w:pPr>
              <w:rPr>
                <w:sz w:val="22"/>
                <w:szCs w:val="22"/>
              </w:rPr>
            </w:pPr>
            <w:r w:rsidRPr="00FF7028">
              <w:rPr>
                <w:sz w:val="22"/>
                <w:szCs w:val="22"/>
              </w:rPr>
              <w:t>Self-Assessment</w:t>
            </w:r>
            <w:r w:rsidR="001A2F71">
              <w:rPr>
                <w:sz w:val="22"/>
                <w:szCs w:val="22"/>
              </w:rPr>
              <w:t xml:space="preserve"> not requiring full UoB </w:t>
            </w:r>
            <w:r w:rsidR="001A2F71">
              <w:rPr>
                <w:sz w:val="22"/>
                <w:szCs w:val="22"/>
              </w:rPr>
              <w:lastRenderedPageBreak/>
              <w:t>research ethics committee review</w:t>
            </w:r>
          </w:p>
        </w:tc>
        <w:tc>
          <w:tcPr>
            <w:tcW w:w="1668" w:type="dxa"/>
          </w:tcPr>
          <w:p w14:paraId="2C6387CD" w14:textId="77777777" w:rsidR="003229C5" w:rsidRDefault="003229C5" w:rsidP="00191444">
            <w:pPr>
              <w:jc w:val="center"/>
              <w:rPr>
                <w:sz w:val="22"/>
                <w:szCs w:val="22"/>
              </w:rPr>
            </w:pPr>
          </w:p>
          <w:p w14:paraId="015D7BD3" w14:textId="77777777" w:rsidR="00191444" w:rsidRPr="00191444" w:rsidRDefault="00191444" w:rsidP="00191444">
            <w:pPr>
              <w:jc w:val="center"/>
              <w:rPr>
                <w:sz w:val="22"/>
                <w:szCs w:val="22"/>
              </w:rPr>
            </w:pPr>
            <w:r w:rsidRPr="00191444">
              <w:rPr>
                <w:sz w:val="22"/>
                <w:szCs w:val="22"/>
              </w:rPr>
              <w:t>1</w:t>
            </w:r>
            <w:r w:rsidR="001A2F71">
              <w:rPr>
                <w:sz w:val="22"/>
                <w:szCs w:val="22"/>
              </w:rPr>
              <w:t>,075</w:t>
            </w:r>
          </w:p>
          <w:p w14:paraId="7A63F18A" w14:textId="77777777" w:rsidR="00ED0D27" w:rsidRPr="00347DB8" w:rsidRDefault="00ED0D27" w:rsidP="00191444">
            <w:pPr>
              <w:jc w:val="center"/>
              <w:rPr>
                <w:sz w:val="22"/>
                <w:szCs w:val="22"/>
              </w:rPr>
            </w:pPr>
          </w:p>
        </w:tc>
        <w:tc>
          <w:tcPr>
            <w:tcW w:w="1779" w:type="dxa"/>
            <w:tcMar>
              <w:top w:w="0" w:type="dxa"/>
              <w:left w:w="108" w:type="dxa"/>
              <w:bottom w:w="0" w:type="dxa"/>
              <w:right w:w="108" w:type="dxa"/>
            </w:tcMar>
          </w:tcPr>
          <w:p w14:paraId="67363B8F" w14:textId="77777777" w:rsidR="003229C5" w:rsidRDefault="003229C5" w:rsidP="00191444">
            <w:pPr>
              <w:jc w:val="center"/>
              <w:rPr>
                <w:sz w:val="22"/>
                <w:szCs w:val="22"/>
              </w:rPr>
            </w:pPr>
          </w:p>
          <w:p w14:paraId="2697CF11" w14:textId="77777777" w:rsidR="00ED0D27" w:rsidRPr="00347DB8" w:rsidRDefault="001A2F71" w:rsidP="00191444">
            <w:pPr>
              <w:jc w:val="center"/>
              <w:rPr>
                <w:sz w:val="22"/>
                <w:szCs w:val="22"/>
              </w:rPr>
            </w:pPr>
            <w:r>
              <w:rPr>
                <w:sz w:val="22"/>
                <w:szCs w:val="22"/>
              </w:rPr>
              <w:t>1,238</w:t>
            </w:r>
          </w:p>
          <w:p w14:paraId="28EF8B28" w14:textId="77777777" w:rsidR="00ED0D27" w:rsidRPr="00FF7028" w:rsidRDefault="00ED0D27" w:rsidP="00191444">
            <w:pPr>
              <w:jc w:val="center"/>
              <w:rPr>
                <w:sz w:val="22"/>
                <w:szCs w:val="22"/>
              </w:rPr>
            </w:pPr>
          </w:p>
        </w:tc>
        <w:tc>
          <w:tcPr>
            <w:tcW w:w="1780" w:type="dxa"/>
            <w:tcMar>
              <w:top w:w="0" w:type="dxa"/>
              <w:left w:w="108" w:type="dxa"/>
              <w:bottom w:w="0" w:type="dxa"/>
              <w:right w:w="108" w:type="dxa"/>
            </w:tcMar>
          </w:tcPr>
          <w:p w14:paraId="08BA380E" w14:textId="77777777" w:rsidR="003229C5" w:rsidRDefault="003229C5" w:rsidP="00593E8D">
            <w:pPr>
              <w:jc w:val="center"/>
              <w:rPr>
                <w:color w:val="000000"/>
                <w:sz w:val="22"/>
                <w:szCs w:val="22"/>
              </w:rPr>
            </w:pPr>
          </w:p>
          <w:p w14:paraId="6B051F3D" w14:textId="77777777" w:rsidR="00593E8D" w:rsidRPr="00593E8D" w:rsidRDefault="00ED0D27" w:rsidP="00593E8D">
            <w:pPr>
              <w:jc w:val="center"/>
              <w:rPr>
                <w:color w:val="000000"/>
                <w:sz w:val="22"/>
                <w:szCs w:val="22"/>
              </w:rPr>
            </w:pPr>
            <w:r w:rsidRPr="00FF7028">
              <w:rPr>
                <w:color w:val="000000"/>
                <w:sz w:val="22"/>
                <w:szCs w:val="22"/>
              </w:rPr>
              <w:t>1</w:t>
            </w:r>
            <w:r w:rsidR="00593E8D">
              <w:rPr>
                <w:color w:val="000000"/>
                <w:sz w:val="22"/>
                <w:szCs w:val="22"/>
              </w:rPr>
              <w:t>,192</w:t>
            </w:r>
          </w:p>
        </w:tc>
        <w:tc>
          <w:tcPr>
            <w:tcW w:w="1417" w:type="dxa"/>
          </w:tcPr>
          <w:p w14:paraId="3E8C632B" w14:textId="77777777" w:rsidR="003229C5" w:rsidRDefault="003229C5" w:rsidP="00593E8D">
            <w:pPr>
              <w:jc w:val="center"/>
              <w:rPr>
                <w:sz w:val="22"/>
                <w:szCs w:val="22"/>
              </w:rPr>
            </w:pPr>
          </w:p>
          <w:p w14:paraId="2AC533C7" w14:textId="77777777" w:rsidR="00ED0D27" w:rsidRPr="00FF7028" w:rsidRDefault="00593E8D" w:rsidP="00593E8D">
            <w:pPr>
              <w:jc w:val="center"/>
              <w:rPr>
                <w:sz w:val="22"/>
                <w:szCs w:val="22"/>
              </w:rPr>
            </w:pPr>
            <w:r>
              <w:rPr>
                <w:sz w:val="22"/>
                <w:szCs w:val="22"/>
              </w:rPr>
              <w:t>1,314</w:t>
            </w:r>
          </w:p>
        </w:tc>
      </w:tr>
      <w:tr w:rsidR="00ED0D27" w:rsidRPr="00FF7028" w14:paraId="53970783" w14:textId="77777777" w:rsidTr="003229C5">
        <w:tc>
          <w:tcPr>
            <w:tcW w:w="2261" w:type="dxa"/>
            <w:tcMar>
              <w:top w:w="0" w:type="dxa"/>
              <w:left w:w="108" w:type="dxa"/>
              <w:bottom w:w="0" w:type="dxa"/>
              <w:right w:w="108" w:type="dxa"/>
            </w:tcMar>
            <w:hideMark/>
          </w:tcPr>
          <w:p w14:paraId="02E7C6F5" w14:textId="77777777" w:rsidR="00ED0D27" w:rsidRPr="00FF7028" w:rsidRDefault="00ED0D27" w:rsidP="0008532A">
            <w:pPr>
              <w:rPr>
                <w:sz w:val="22"/>
                <w:szCs w:val="22"/>
              </w:rPr>
            </w:pPr>
            <w:r w:rsidRPr="00FF7028">
              <w:rPr>
                <w:sz w:val="22"/>
                <w:szCs w:val="22"/>
              </w:rPr>
              <w:t xml:space="preserve">Full </w:t>
            </w:r>
            <w:r w:rsidR="001A2F71">
              <w:rPr>
                <w:sz w:val="22"/>
                <w:szCs w:val="22"/>
              </w:rPr>
              <w:t xml:space="preserve">UoB research </w:t>
            </w:r>
            <w:r w:rsidRPr="00FF7028">
              <w:rPr>
                <w:sz w:val="22"/>
                <w:szCs w:val="22"/>
              </w:rPr>
              <w:t>ethics ap</w:t>
            </w:r>
            <w:r>
              <w:rPr>
                <w:sz w:val="22"/>
                <w:szCs w:val="22"/>
              </w:rPr>
              <w:t>plications / amendments</w:t>
            </w:r>
          </w:p>
        </w:tc>
        <w:tc>
          <w:tcPr>
            <w:tcW w:w="1668" w:type="dxa"/>
          </w:tcPr>
          <w:p w14:paraId="10C8502A" w14:textId="77777777" w:rsidR="003229C5" w:rsidRDefault="003229C5" w:rsidP="00191444">
            <w:pPr>
              <w:jc w:val="center"/>
              <w:rPr>
                <w:sz w:val="22"/>
                <w:szCs w:val="22"/>
              </w:rPr>
            </w:pPr>
          </w:p>
          <w:p w14:paraId="6FB826B6" w14:textId="77777777" w:rsidR="00ED0D27" w:rsidRPr="00347DB8" w:rsidRDefault="00191444" w:rsidP="00191444">
            <w:pPr>
              <w:jc w:val="center"/>
              <w:rPr>
                <w:sz w:val="22"/>
                <w:szCs w:val="22"/>
              </w:rPr>
            </w:pPr>
            <w:r>
              <w:rPr>
                <w:sz w:val="22"/>
                <w:szCs w:val="22"/>
              </w:rPr>
              <w:t>703</w:t>
            </w:r>
          </w:p>
        </w:tc>
        <w:tc>
          <w:tcPr>
            <w:tcW w:w="1779" w:type="dxa"/>
            <w:tcMar>
              <w:top w:w="0" w:type="dxa"/>
              <w:left w:w="108" w:type="dxa"/>
              <w:bottom w:w="0" w:type="dxa"/>
              <w:right w:w="108" w:type="dxa"/>
            </w:tcMar>
          </w:tcPr>
          <w:p w14:paraId="06B20197" w14:textId="77777777" w:rsidR="003229C5" w:rsidRDefault="003229C5" w:rsidP="00191444">
            <w:pPr>
              <w:jc w:val="center"/>
              <w:rPr>
                <w:sz w:val="22"/>
                <w:szCs w:val="22"/>
              </w:rPr>
            </w:pPr>
          </w:p>
          <w:p w14:paraId="75F3BFDD" w14:textId="77777777" w:rsidR="00ED0D27" w:rsidRPr="00347DB8" w:rsidRDefault="00ED0D27" w:rsidP="00191444">
            <w:pPr>
              <w:jc w:val="center"/>
              <w:rPr>
                <w:sz w:val="22"/>
                <w:szCs w:val="22"/>
              </w:rPr>
            </w:pPr>
            <w:r w:rsidRPr="00347DB8">
              <w:rPr>
                <w:sz w:val="22"/>
                <w:szCs w:val="22"/>
              </w:rPr>
              <w:t>613</w:t>
            </w:r>
          </w:p>
          <w:p w14:paraId="23148277" w14:textId="77777777" w:rsidR="00ED0D27" w:rsidRPr="00FF7028" w:rsidRDefault="00ED0D27" w:rsidP="00191444">
            <w:pPr>
              <w:jc w:val="center"/>
              <w:rPr>
                <w:sz w:val="22"/>
                <w:szCs w:val="22"/>
              </w:rPr>
            </w:pPr>
          </w:p>
        </w:tc>
        <w:tc>
          <w:tcPr>
            <w:tcW w:w="1780" w:type="dxa"/>
            <w:tcMar>
              <w:top w:w="0" w:type="dxa"/>
              <w:left w:w="108" w:type="dxa"/>
              <w:bottom w:w="0" w:type="dxa"/>
              <w:right w:w="108" w:type="dxa"/>
            </w:tcMar>
          </w:tcPr>
          <w:p w14:paraId="64DDC866" w14:textId="77777777" w:rsidR="003229C5" w:rsidRDefault="003229C5" w:rsidP="00191444">
            <w:pPr>
              <w:jc w:val="center"/>
              <w:rPr>
                <w:color w:val="000000"/>
                <w:sz w:val="22"/>
                <w:szCs w:val="22"/>
              </w:rPr>
            </w:pPr>
          </w:p>
          <w:p w14:paraId="2B5DE199" w14:textId="77777777" w:rsidR="00ED0D27" w:rsidRPr="00FF7028" w:rsidRDefault="00ED0D27" w:rsidP="00191444">
            <w:pPr>
              <w:jc w:val="center"/>
              <w:rPr>
                <w:sz w:val="22"/>
                <w:szCs w:val="22"/>
              </w:rPr>
            </w:pPr>
            <w:r w:rsidRPr="00FF7028">
              <w:rPr>
                <w:color w:val="000000"/>
                <w:sz w:val="22"/>
                <w:szCs w:val="22"/>
              </w:rPr>
              <w:t>756</w:t>
            </w:r>
          </w:p>
        </w:tc>
        <w:tc>
          <w:tcPr>
            <w:tcW w:w="1417" w:type="dxa"/>
          </w:tcPr>
          <w:p w14:paraId="4BA47DAD" w14:textId="77777777" w:rsidR="003229C5" w:rsidRDefault="003229C5" w:rsidP="00191444">
            <w:pPr>
              <w:jc w:val="center"/>
              <w:rPr>
                <w:sz w:val="22"/>
                <w:szCs w:val="22"/>
              </w:rPr>
            </w:pPr>
          </w:p>
          <w:p w14:paraId="0076408D" w14:textId="77777777" w:rsidR="00ED0D27" w:rsidRPr="00FF7028" w:rsidRDefault="00ED0D27" w:rsidP="00191444">
            <w:pPr>
              <w:jc w:val="center"/>
              <w:rPr>
                <w:sz w:val="22"/>
                <w:szCs w:val="22"/>
              </w:rPr>
            </w:pPr>
            <w:r w:rsidRPr="00FF7028">
              <w:rPr>
                <w:sz w:val="22"/>
                <w:szCs w:val="22"/>
              </w:rPr>
              <w:t>810</w:t>
            </w:r>
          </w:p>
        </w:tc>
      </w:tr>
      <w:tr w:rsidR="00ED0D27" w:rsidRPr="00FF7028" w14:paraId="038F3750" w14:textId="77777777" w:rsidTr="003229C5">
        <w:tc>
          <w:tcPr>
            <w:tcW w:w="2261" w:type="dxa"/>
            <w:tcMar>
              <w:top w:w="0" w:type="dxa"/>
              <w:left w:w="108" w:type="dxa"/>
              <w:bottom w:w="0" w:type="dxa"/>
              <w:right w:w="108" w:type="dxa"/>
            </w:tcMar>
            <w:hideMark/>
          </w:tcPr>
          <w:p w14:paraId="6407FF76" w14:textId="77777777" w:rsidR="00ED0D27" w:rsidRPr="00FF7028" w:rsidRDefault="00ED0D27" w:rsidP="003229C5">
            <w:pPr>
              <w:jc w:val="right"/>
              <w:rPr>
                <w:sz w:val="22"/>
                <w:szCs w:val="22"/>
              </w:rPr>
            </w:pPr>
            <w:r w:rsidRPr="00FF7028">
              <w:rPr>
                <w:sz w:val="22"/>
                <w:szCs w:val="22"/>
              </w:rPr>
              <w:t>CoSS</w:t>
            </w:r>
          </w:p>
        </w:tc>
        <w:tc>
          <w:tcPr>
            <w:tcW w:w="1668" w:type="dxa"/>
          </w:tcPr>
          <w:p w14:paraId="21E03320" w14:textId="77777777" w:rsidR="00ED0D27" w:rsidRDefault="00191444" w:rsidP="003229C5">
            <w:pPr>
              <w:jc w:val="right"/>
              <w:rPr>
                <w:sz w:val="22"/>
                <w:szCs w:val="22"/>
              </w:rPr>
            </w:pPr>
            <w:r>
              <w:rPr>
                <w:sz w:val="22"/>
                <w:szCs w:val="22"/>
              </w:rPr>
              <w:t>211</w:t>
            </w:r>
          </w:p>
          <w:p w14:paraId="311623A0" w14:textId="77777777" w:rsidR="003229C5" w:rsidRPr="00347DB8" w:rsidRDefault="003229C5" w:rsidP="003229C5">
            <w:pPr>
              <w:jc w:val="right"/>
              <w:rPr>
                <w:sz w:val="22"/>
                <w:szCs w:val="22"/>
              </w:rPr>
            </w:pPr>
          </w:p>
        </w:tc>
        <w:tc>
          <w:tcPr>
            <w:tcW w:w="1779" w:type="dxa"/>
            <w:tcMar>
              <w:top w:w="0" w:type="dxa"/>
              <w:left w:w="108" w:type="dxa"/>
              <w:bottom w:w="0" w:type="dxa"/>
              <w:right w:w="108" w:type="dxa"/>
            </w:tcMar>
          </w:tcPr>
          <w:p w14:paraId="3961722A" w14:textId="77777777" w:rsidR="00ED0D27" w:rsidRPr="00FF7028" w:rsidRDefault="00ED0D27" w:rsidP="003229C5">
            <w:pPr>
              <w:jc w:val="right"/>
              <w:rPr>
                <w:sz w:val="22"/>
                <w:szCs w:val="22"/>
              </w:rPr>
            </w:pPr>
            <w:r w:rsidRPr="00347DB8">
              <w:rPr>
                <w:sz w:val="22"/>
                <w:szCs w:val="22"/>
              </w:rPr>
              <w:t>193</w:t>
            </w:r>
          </w:p>
        </w:tc>
        <w:tc>
          <w:tcPr>
            <w:tcW w:w="1780" w:type="dxa"/>
            <w:tcMar>
              <w:top w:w="0" w:type="dxa"/>
              <w:left w:w="108" w:type="dxa"/>
              <w:bottom w:w="0" w:type="dxa"/>
              <w:right w:w="108" w:type="dxa"/>
            </w:tcMar>
          </w:tcPr>
          <w:p w14:paraId="6A658235" w14:textId="77777777" w:rsidR="00ED0D27" w:rsidRPr="00FF7028" w:rsidRDefault="00ED0D27" w:rsidP="003229C5">
            <w:pPr>
              <w:jc w:val="right"/>
              <w:rPr>
                <w:sz w:val="22"/>
                <w:szCs w:val="22"/>
              </w:rPr>
            </w:pPr>
            <w:r w:rsidRPr="00FF7028">
              <w:rPr>
                <w:color w:val="000000"/>
                <w:sz w:val="22"/>
                <w:szCs w:val="22"/>
              </w:rPr>
              <w:t>195</w:t>
            </w:r>
          </w:p>
        </w:tc>
        <w:tc>
          <w:tcPr>
            <w:tcW w:w="1417" w:type="dxa"/>
          </w:tcPr>
          <w:p w14:paraId="534119FF" w14:textId="77777777" w:rsidR="00ED0D27" w:rsidRPr="00FF7028" w:rsidRDefault="00ED0D27" w:rsidP="003229C5">
            <w:pPr>
              <w:jc w:val="right"/>
              <w:rPr>
                <w:sz w:val="22"/>
                <w:szCs w:val="22"/>
              </w:rPr>
            </w:pPr>
            <w:r w:rsidRPr="00FF7028">
              <w:rPr>
                <w:sz w:val="22"/>
                <w:szCs w:val="22"/>
              </w:rPr>
              <w:t>243</w:t>
            </w:r>
          </w:p>
        </w:tc>
      </w:tr>
      <w:tr w:rsidR="00ED0D27" w:rsidRPr="00FF7028" w14:paraId="60D1AA1C" w14:textId="77777777" w:rsidTr="003229C5">
        <w:tc>
          <w:tcPr>
            <w:tcW w:w="2261" w:type="dxa"/>
            <w:tcMar>
              <w:top w:w="0" w:type="dxa"/>
              <w:left w:w="108" w:type="dxa"/>
              <w:bottom w:w="0" w:type="dxa"/>
              <w:right w:w="108" w:type="dxa"/>
            </w:tcMar>
            <w:hideMark/>
          </w:tcPr>
          <w:p w14:paraId="2849AC37" w14:textId="77777777" w:rsidR="00ED0D27" w:rsidRPr="00FF7028" w:rsidRDefault="00ED0D27" w:rsidP="003229C5">
            <w:pPr>
              <w:jc w:val="right"/>
              <w:rPr>
                <w:sz w:val="22"/>
                <w:szCs w:val="22"/>
              </w:rPr>
            </w:pPr>
            <w:r w:rsidRPr="00FF7028">
              <w:rPr>
                <w:sz w:val="22"/>
                <w:szCs w:val="22"/>
              </w:rPr>
              <w:t>CAL</w:t>
            </w:r>
          </w:p>
        </w:tc>
        <w:tc>
          <w:tcPr>
            <w:tcW w:w="1668" w:type="dxa"/>
          </w:tcPr>
          <w:p w14:paraId="2D607DA4" w14:textId="77777777" w:rsidR="00ED0D27" w:rsidRDefault="00191444" w:rsidP="003229C5">
            <w:pPr>
              <w:jc w:val="right"/>
              <w:rPr>
                <w:sz w:val="22"/>
                <w:szCs w:val="22"/>
              </w:rPr>
            </w:pPr>
            <w:r>
              <w:rPr>
                <w:sz w:val="22"/>
                <w:szCs w:val="22"/>
              </w:rPr>
              <w:t>105</w:t>
            </w:r>
          </w:p>
        </w:tc>
        <w:tc>
          <w:tcPr>
            <w:tcW w:w="1779" w:type="dxa"/>
            <w:tcMar>
              <w:top w:w="0" w:type="dxa"/>
              <w:left w:w="108" w:type="dxa"/>
              <w:bottom w:w="0" w:type="dxa"/>
              <w:right w:w="108" w:type="dxa"/>
            </w:tcMar>
          </w:tcPr>
          <w:p w14:paraId="69C0D73D" w14:textId="77777777" w:rsidR="00ED0D27" w:rsidRPr="00347DB8" w:rsidRDefault="00ED0D27" w:rsidP="003229C5">
            <w:pPr>
              <w:jc w:val="right"/>
              <w:rPr>
                <w:sz w:val="22"/>
                <w:szCs w:val="22"/>
              </w:rPr>
            </w:pPr>
            <w:r w:rsidRPr="00347DB8">
              <w:rPr>
                <w:sz w:val="22"/>
                <w:szCs w:val="22"/>
              </w:rPr>
              <w:t>96</w:t>
            </w:r>
          </w:p>
          <w:p w14:paraId="260E371F" w14:textId="77777777" w:rsidR="00ED0D27" w:rsidRPr="00FF7028" w:rsidRDefault="00ED0D27" w:rsidP="003229C5">
            <w:pPr>
              <w:jc w:val="right"/>
              <w:rPr>
                <w:sz w:val="22"/>
                <w:szCs w:val="22"/>
              </w:rPr>
            </w:pPr>
          </w:p>
        </w:tc>
        <w:tc>
          <w:tcPr>
            <w:tcW w:w="1780" w:type="dxa"/>
            <w:tcMar>
              <w:top w:w="0" w:type="dxa"/>
              <w:left w:w="108" w:type="dxa"/>
              <w:bottom w:w="0" w:type="dxa"/>
              <w:right w:w="108" w:type="dxa"/>
            </w:tcMar>
          </w:tcPr>
          <w:p w14:paraId="0A6572B0" w14:textId="77777777" w:rsidR="00ED0D27" w:rsidRPr="00FF7028" w:rsidRDefault="00ED0D27" w:rsidP="003229C5">
            <w:pPr>
              <w:jc w:val="right"/>
              <w:rPr>
                <w:sz w:val="22"/>
                <w:szCs w:val="22"/>
              </w:rPr>
            </w:pPr>
            <w:r w:rsidRPr="00FF7028">
              <w:rPr>
                <w:color w:val="000000"/>
                <w:sz w:val="22"/>
                <w:szCs w:val="22"/>
              </w:rPr>
              <w:t>119</w:t>
            </w:r>
          </w:p>
        </w:tc>
        <w:tc>
          <w:tcPr>
            <w:tcW w:w="1417" w:type="dxa"/>
          </w:tcPr>
          <w:p w14:paraId="70ED75EB" w14:textId="77777777" w:rsidR="00ED0D27" w:rsidRPr="00FF7028" w:rsidRDefault="00ED0D27" w:rsidP="003229C5">
            <w:pPr>
              <w:jc w:val="right"/>
              <w:rPr>
                <w:sz w:val="22"/>
                <w:szCs w:val="22"/>
              </w:rPr>
            </w:pPr>
            <w:r w:rsidRPr="00FF7028">
              <w:rPr>
                <w:sz w:val="22"/>
                <w:szCs w:val="22"/>
              </w:rPr>
              <w:t>106</w:t>
            </w:r>
          </w:p>
        </w:tc>
      </w:tr>
      <w:tr w:rsidR="00ED0D27" w:rsidRPr="00FF7028" w14:paraId="36F1D09E" w14:textId="77777777" w:rsidTr="003229C5">
        <w:tc>
          <w:tcPr>
            <w:tcW w:w="2261" w:type="dxa"/>
            <w:tcMar>
              <w:top w:w="0" w:type="dxa"/>
              <w:left w:w="108" w:type="dxa"/>
              <w:bottom w:w="0" w:type="dxa"/>
              <w:right w:w="108" w:type="dxa"/>
            </w:tcMar>
            <w:hideMark/>
          </w:tcPr>
          <w:p w14:paraId="6677EA2F" w14:textId="77777777" w:rsidR="00ED0D27" w:rsidRPr="00FF7028" w:rsidRDefault="00ED0D27" w:rsidP="003229C5">
            <w:pPr>
              <w:jc w:val="right"/>
              <w:rPr>
                <w:sz w:val="22"/>
                <w:szCs w:val="22"/>
              </w:rPr>
            </w:pPr>
            <w:r w:rsidRPr="00FF7028">
              <w:rPr>
                <w:sz w:val="22"/>
                <w:szCs w:val="22"/>
              </w:rPr>
              <w:t>EPS</w:t>
            </w:r>
          </w:p>
        </w:tc>
        <w:tc>
          <w:tcPr>
            <w:tcW w:w="1668" w:type="dxa"/>
          </w:tcPr>
          <w:p w14:paraId="215FEA23" w14:textId="77777777" w:rsidR="00ED0D27" w:rsidRDefault="00191444" w:rsidP="003229C5">
            <w:pPr>
              <w:jc w:val="right"/>
              <w:rPr>
                <w:sz w:val="22"/>
                <w:szCs w:val="22"/>
              </w:rPr>
            </w:pPr>
            <w:r>
              <w:rPr>
                <w:sz w:val="22"/>
                <w:szCs w:val="22"/>
              </w:rPr>
              <w:t>25</w:t>
            </w:r>
          </w:p>
        </w:tc>
        <w:tc>
          <w:tcPr>
            <w:tcW w:w="1779" w:type="dxa"/>
            <w:tcMar>
              <w:top w:w="0" w:type="dxa"/>
              <w:left w:w="108" w:type="dxa"/>
              <w:bottom w:w="0" w:type="dxa"/>
              <w:right w:w="108" w:type="dxa"/>
            </w:tcMar>
          </w:tcPr>
          <w:p w14:paraId="77A60B1E" w14:textId="77777777" w:rsidR="00ED0D27" w:rsidRPr="00347DB8" w:rsidRDefault="00ED0D27" w:rsidP="003229C5">
            <w:pPr>
              <w:jc w:val="right"/>
              <w:rPr>
                <w:sz w:val="22"/>
                <w:szCs w:val="22"/>
              </w:rPr>
            </w:pPr>
            <w:r w:rsidRPr="00347DB8">
              <w:rPr>
                <w:sz w:val="22"/>
                <w:szCs w:val="22"/>
              </w:rPr>
              <w:t>22</w:t>
            </w:r>
          </w:p>
          <w:p w14:paraId="380565E6" w14:textId="77777777" w:rsidR="00ED0D27" w:rsidRPr="00FF7028" w:rsidRDefault="00ED0D27" w:rsidP="003229C5">
            <w:pPr>
              <w:jc w:val="right"/>
              <w:rPr>
                <w:sz w:val="22"/>
                <w:szCs w:val="22"/>
              </w:rPr>
            </w:pPr>
          </w:p>
        </w:tc>
        <w:tc>
          <w:tcPr>
            <w:tcW w:w="1780" w:type="dxa"/>
            <w:tcMar>
              <w:top w:w="0" w:type="dxa"/>
              <w:left w:w="108" w:type="dxa"/>
              <w:bottom w:w="0" w:type="dxa"/>
              <w:right w:w="108" w:type="dxa"/>
            </w:tcMar>
          </w:tcPr>
          <w:p w14:paraId="422306E4" w14:textId="77777777" w:rsidR="00ED0D27" w:rsidRPr="00FF7028" w:rsidRDefault="00ED0D27" w:rsidP="003229C5">
            <w:pPr>
              <w:jc w:val="right"/>
              <w:rPr>
                <w:sz w:val="22"/>
                <w:szCs w:val="22"/>
              </w:rPr>
            </w:pPr>
            <w:r w:rsidRPr="00FF7028">
              <w:rPr>
                <w:color w:val="000000"/>
                <w:sz w:val="22"/>
                <w:szCs w:val="22"/>
              </w:rPr>
              <w:t>41</w:t>
            </w:r>
          </w:p>
        </w:tc>
        <w:tc>
          <w:tcPr>
            <w:tcW w:w="1417" w:type="dxa"/>
          </w:tcPr>
          <w:p w14:paraId="54CC269A" w14:textId="77777777" w:rsidR="00ED0D27" w:rsidRPr="00FF7028" w:rsidRDefault="00ED0D27" w:rsidP="003229C5">
            <w:pPr>
              <w:jc w:val="right"/>
              <w:rPr>
                <w:sz w:val="22"/>
                <w:szCs w:val="22"/>
              </w:rPr>
            </w:pPr>
            <w:r w:rsidRPr="00FF7028">
              <w:rPr>
                <w:sz w:val="22"/>
                <w:szCs w:val="22"/>
              </w:rPr>
              <w:t>37</w:t>
            </w:r>
          </w:p>
        </w:tc>
      </w:tr>
      <w:tr w:rsidR="00ED0D27" w:rsidRPr="00FF7028" w14:paraId="13DE3BE4" w14:textId="77777777" w:rsidTr="003229C5">
        <w:tc>
          <w:tcPr>
            <w:tcW w:w="2261" w:type="dxa"/>
            <w:tcMar>
              <w:top w:w="0" w:type="dxa"/>
              <w:left w:w="108" w:type="dxa"/>
              <w:bottom w:w="0" w:type="dxa"/>
              <w:right w:w="108" w:type="dxa"/>
            </w:tcMar>
            <w:hideMark/>
          </w:tcPr>
          <w:p w14:paraId="75DCFBBC" w14:textId="77777777" w:rsidR="00ED0D27" w:rsidRPr="00FF7028" w:rsidRDefault="00ED0D27" w:rsidP="003229C5">
            <w:pPr>
              <w:jc w:val="right"/>
              <w:rPr>
                <w:sz w:val="22"/>
                <w:szCs w:val="22"/>
              </w:rPr>
            </w:pPr>
            <w:r w:rsidRPr="00FF7028">
              <w:rPr>
                <w:sz w:val="22"/>
                <w:szCs w:val="22"/>
              </w:rPr>
              <w:t>LES</w:t>
            </w:r>
          </w:p>
        </w:tc>
        <w:tc>
          <w:tcPr>
            <w:tcW w:w="1668" w:type="dxa"/>
          </w:tcPr>
          <w:p w14:paraId="39B2604C" w14:textId="77777777" w:rsidR="00ED0D27" w:rsidRPr="00347DB8" w:rsidRDefault="00191444" w:rsidP="003229C5">
            <w:pPr>
              <w:jc w:val="right"/>
              <w:rPr>
                <w:sz w:val="22"/>
                <w:szCs w:val="22"/>
              </w:rPr>
            </w:pPr>
            <w:r>
              <w:rPr>
                <w:sz w:val="22"/>
                <w:szCs w:val="22"/>
              </w:rPr>
              <w:t>228</w:t>
            </w:r>
          </w:p>
        </w:tc>
        <w:tc>
          <w:tcPr>
            <w:tcW w:w="1779" w:type="dxa"/>
            <w:tcMar>
              <w:top w:w="0" w:type="dxa"/>
              <w:left w:w="108" w:type="dxa"/>
              <w:bottom w:w="0" w:type="dxa"/>
              <w:right w:w="108" w:type="dxa"/>
            </w:tcMar>
          </w:tcPr>
          <w:p w14:paraId="0B2506F9" w14:textId="77777777" w:rsidR="00ED0D27" w:rsidRPr="00347DB8" w:rsidRDefault="00ED0D27" w:rsidP="003229C5">
            <w:pPr>
              <w:jc w:val="right"/>
              <w:rPr>
                <w:sz w:val="22"/>
                <w:szCs w:val="22"/>
              </w:rPr>
            </w:pPr>
            <w:r w:rsidRPr="00347DB8">
              <w:rPr>
                <w:sz w:val="22"/>
                <w:szCs w:val="22"/>
              </w:rPr>
              <w:t>195</w:t>
            </w:r>
          </w:p>
          <w:p w14:paraId="26893D40" w14:textId="77777777" w:rsidR="00ED0D27" w:rsidRPr="00FF7028" w:rsidRDefault="00ED0D27" w:rsidP="003229C5">
            <w:pPr>
              <w:jc w:val="right"/>
              <w:rPr>
                <w:sz w:val="22"/>
                <w:szCs w:val="22"/>
              </w:rPr>
            </w:pPr>
          </w:p>
        </w:tc>
        <w:tc>
          <w:tcPr>
            <w:tcW w:w="1780" w:type="dxa"/>
            <w:tcMar>
              <w:top w:w="0" w:type="dxa"/>
              <w:left w:w="108" w:type="dxa"/>
              <w:bottom w:w="0" w:type="dxa"/>
              <w:right w:w="108" w:type="dxa"/>
            </w:tcMar>
          </w:tcPr>
          <w:p w14:paraId="79FF7BF7" w14:textId="77777777" w:rsidR="00ED0D27" w:rsidRPr="00FF7028" w:rsidRDefault="00ED0D27" w:rsidP="003229C5">
            <w:pPr>
              <w:jc w:val="right"/>
              <w:rPr>
                <w:sz w:val="22"/>
                <w:szCs w:val="22"/>
              </w:rPr>
            </w:pPr>
            <w:r w:rsidRPr="00FF7028">
              <w:rPr>
                <w:color w:val="000000"/>
                <w:sz w:val="22"/>
                <w:szCs w:val="22"/>
              </w:rPr>
              <w:t>267</w:t>
            </w:r>
          </w:p>
        </w:tc>
        <w:tc>
          <w:tcPr>
            <w:tcW w:w="1417" w:type="dxa"/>
          </w:tcPr>
          <w:p w14:paraId="5943AA04" w14:textId="77777777" w:rsidR="00ED0D27" w:rsidRPr="00FF7028" w:rsidRDefault="00ED0D27" w:rsidP="003229C5">
            <w:pPr>
              <w:jc w:val="right"/>
              <w:rPr>
                <w:sz w:val="22"/>
                <w:szCs w:val="22"/>
              </w:rPr>
            </w:pPr>
            <w:r w:rsidRPr="00FF7028">
              <w:rPr>
                <w:sz w:val="22"/>
                <w:szCs w:val="22"/>
              </w:rPr>
              <w:t>277</w:t>
            </w:r>
          </w:p>
        </w:tc>
      </w:tr>
      <w:tr w:rsidR="00ED0D27" w:rsidRPr="00FF7028" w14:paraId="038022CC" w14:textId="77777777" w:rsidTr="003229C5">
        <w:tc>
          <w:tcPr>
            <w:tcW w:w="2261" w:type="dxa"/>
            <w:tcMar>
              <w:top w:w="0" w:type="dxa"/>
              <w:left w:w="108" w:type="dxa"/>
              <w:bottom w:w="0" w:type="dxa"/>
              <w:right w:w="108" w:type="dxa"/>
            </w:tcMar>
            <w:hideMark/>
          </w:tcPr>
          <w:p w14:paraId="4FAC4489" w14:textId="77777777" w:rsidR="00ED0D27" w:rsidRPr="00FF7028" w:rsidRDefault="00ED0D27" w:rsidP="003229C5">
            <w:pPr>
              <w:jc w:val="right"/>
              <w:rPr>
                <w:sz w:val="22"/>
                <w:szCs w:val="22"/>
              </w:rPr>
            </w:pPr>
            <w:r w:rsidRPr="00FF7028">
              <w:rPr>
                <w:sz w:val="22"/>
                <w:szCs w:val="22"/>
              </w:rPr>
              <w:t>MDS</w:t>
            </w:r>
          </w:p>
        </w:tc>
        <w:tc>
          <w:tcPr>
            <w:tcW w:w="1668" w:type="dxa"/>
          </w:tcPr>
          <w:p w14:paraId="1ECE2A24" w14:textId="77777777" w:rsidR="00ED0D27" w:rsidRDefault="00191444" w:rsidP="003229C5">
            <w:pPr>
              <w:jc w:val="right"/>
              <w:rPr>
                <w:sz w:val="22"/>
                <w:szCs w:val="22"/>
              </w:rPr>
            </w:pPr>
            <w:r>
              <w:rPr>
                <w:sz w:val="22"/>
                <w:szCs w:val="22"/>
              </w:rPr>
              <w:t>124</w:t>
            </w:r>
          </w:p>
          <w:p w14:paraId="66336FE8" w14:textId="77777777" w:rsidR="003229C5" w:rsidRPr="00347DB8" w:rsidRDefault="003229C5" w:rsidP="003229C5">
            <w:pPr>
              <w:jc w:val="right"/>
              <w:rPr>
                <w:sz w:val="22"/>
                <w:szCs w:val="22"/>
              </w:rPr>
            </w:pPr>
          </w:p>
        </w:tc>
        <w:tc>
          <w:tcPr>
            <w:tcW w:w="1779" w:type="dxa"/>
            <w:tcMar>
              <w:top w:w="0" w:type="dxa"/>
              <w:left w:w="108" w:type="dxa"/>
              <w:bottom w:w="0" w:type="dxa"/>
              <w:right w:w="108" w:type="dxa"/>
            </w:tcMar>
          </w:tcPr>
          <w:p w14:paraId="5E590666" w14:textId="77777777" w:rsidR="00ED0D27" w:rsidRPr="00FF7028" w:rsidRDefault="00ED0D27" w:rsidP="003229C5">
            <w:pPr>
              <w:jc w:val="right"/>
              <w:rPr>
                <w:sz w:val="22"/>
                <w:szCs w:val="22"/>
              </w:rPr>
            </w:pPr>
            <w:r w:rsidRPr="00347DB8">
              <w:rPr>
                <w:sz w:val="22"/>
                <w:szCs w:val="22"/>
              </w:rPr>
              <w:t>102</w:t>
            </w:r>
          </w:p>
        </w:tc>
        <w:tc>
          <w:tcPr>
            <w:tcW w:w="1780" w:type="dxa"/>
            <w:tcMar>
              <w:top w:w="0" w:type="dxa"/>
              <w:left w:w="108" w:type="dxa"/>
              <w:bottom w:w="0" w:type="dxa"/>
              <w:right w:w="108" w:type="dxa"/>
            </w:tcMar>
          </w:tcPr>
          <w:p w14:paraId="18575F35" w14:textId="77777777" w:rsidR="00ED0D27" w:rsidRPr="00FF7028" w:rsidRDefault="00ED0D27" w:rsidP="003229C5">
            <w:pPr>
              <w:jc w:val="right"/>
              <w:rPr>
                <w:sz w:val="22"/>
                <w:szCs w:val="22"/>
              </w:rPr>
            </w:pPr>
            <w:r w:rsidRPr="00FF7028">
              <w:rPr>
                <w:color w:val="000000"/>
                <w:sz w:val="22"/>
                <w:szCs w:val="22"/>
              </w:rPr>
              <w:t>124</w:t>
            </w:r>
          </w:p>
        </w:tc>
        <w:tc>
          <w:tcPr>
            <w:tcW w:w="1417" w:type="dxa"/>
          </w:tcPr>
          <w:p w14:paraId="6AEC3A29" w14:textId="77777777" w:rsidR="00ED0D27" w:rsidRPr="00FF7028" w:rsidRDefault="00ED0D27" w:rsidP="003229C5">
            <w:pPr>
              <w:jc w:val="right"/>
              <w:rPr>
                <w:sz w:val="22"/>
                <w:szCs w:val="22"/>
              </w:rPr>
            </w:pPr>
            <w:r w:rsidRPr="00FF7028">
              <w:rPr>
                <w:sz w:val="22"/>
                <w:szCs w:val="22"/>
              </w:rPr>
              <w:t>147</w:t>
            </w:r>
          </w:p>
        </w:tc>
      </w:tr>
      <w:tr w:rsidR="00ED0D27" w:rsidRPr="00FF7028" w14:paraId="4C5D5B72" w14:textId="77777777" w:rsidTr="003229C5">
        <w:tc>
          <w:tcPr>
            <w:tcW w:w="2261" w:type="dxa"/>
            <w:tcMar>
              <w:top w:w="0" w:type="dxa"/>
              <w:left w:w="108" w:type="dxa"/>
              <w:bottom w:w="0" w:type="dxa"/>
              <w:right w:w="108" w:type="dxa"/>
            </w:tcMar>
          </w:tcPr>
          <w:p w14:paraId="65C38ECD" w14:textId="77777777" w:rsidR="00ED0D27" w:rsidRPr="00FF7028" w:rsidRDefault="00191444" w:rsidP="003229C5">
            <w:pPr>
              <w:jc w:val="right"/>
              <w:rPr>
                <w:sz w:val="22"/>
                <w:szCs w:val="22"/>
              </w:rPr>
            </w:pPr>
            <w:r>
              <w:rPr>
                <w:sz w:val="22"/>
                <w:szCs w:val="22"/>
              </w:rPr>
              <w:t>Other</w:t>
            </w:r>
          </w:p>
        </w:tc>
        <w:tc>
          <w:tcPr>
            <w:tcW w:w="1668" w:type="dxa"/>
          </w:tcPr>
          <w:p w14:paraId="1A4A2C23" w14:textId="77777777" w:rsidR="00ED0D27" w:rsidRPr="00FF7028" w:rsidRDefault="00191444" w:rsidP="003229C5">
            <w:pPr>
              <w:jc w:val="right"/>
              <w:rPr>
                <w:color w:val="000000"/>
                <w:sz w:val="22"/>
                <w:szCs w:val="22"/>
              </w:rPr>
            </w:pPr>
            <w:r>
              <w:rPr>
                <w:color w:val="000000"/>
                <w:sz w:val="22"/>
                <w:szCs w:val="22"/>
              </w:rPr>
              <w:t>10</w:t>
            </w:r>
          </w:p>
        </w:tc>
        <w:tc>
          <w:tcPr>
            <w:tcW w:w="1779" w:type="dxa"/>
            <w:tcMar>
              <w:top w:w="0" w:type="dxa"/>
              <w:left w:w="108" w:type="dxa"/>
              <w:bottom w:w="0" w:type="dxa"/>
              <w:right w:w="108" w:type="dxa"/>
            </w:tcMar>
          </w:tcPr>
          <w:p w14:paraId="2A8BF024" w14:textId="77777777" w:rsidR="00ED0D27" w:rsidRPr="00FF7028" w:rsidRDefault="00593E8D" w:rsidP="003229C5">
            <w:pPr>
              <w:jc w:val="right"/>
              <w:rPr>
                <w:color w:val="000000"/>
                <w:sz w:val="22"/>
                <w:szCs w:val="22"/>
              </w:rPr>
            </w:pPr>
            <w:r>
              <w:rPr>
                <w:color w:val="000000"/>
                <w:sz w:val="22"/>
                <w:szCs w:val="22"/>
              </w:rPr>
              <w:t>5</w:t>
            </w:r>
          </w:p>
        </w:tc>
        <w:tc>
          <w:tcPr>
            <w:tcW w:w="1780" w:type="dxa"/>
            <w:tcMar>
              <w:top w:w="0" w:type="dxa"/>
              <w:left w:w="108" w:type="dxa"/>
              <w:bottom w:w="0" w:type="dxa"/>
              <w:right w:w="108" w:type="dxa"/>
            </w:tcMar>
          </w:tcPr>
          <w:p w14:paraId="55885C1C" w14:textId="77777777" w:rsidR="00ED0D27" w:rsidRDefault="00593E8D" w:rsidP="003229C5">
            <w:pPr>
              <w:jc w:val="right"/>
              <w:rPr>
                <w:sz w:val="22"/>
                <w:szCs w:val="22"/>
              </w:rPr>
            </w:pPr>
            <w:r>
              <w:rPr>
                <w:sz w:val="22"/>
                <w:szCs w:val="22"/>
              </w:rPr>
              <w:t>10</w:t>
            </w:r>
          </w:p>
          <w:p w14:paraId="6B427F80" w14:textId="77777777" w:rsidR="003229C5" w:rsidRPr="00FF7028" w:rsidRDefault="003229C5" w:rsidP="003229C5">
            <w:pPr>
              <w:jc w:val="right"/>
              <w:rPr>
                <w:sz w:val="22"/>
                <w:szCs w:val="22"/>
              </w:rPr>
            </w:pPr>
          </w:p>
        </w:tc>
        <w:tc>
          <w:tcPr>
            <w:tcW w:w="1417" w:type="dxa"/>
          </w:tcPr>
          <w:p w14:paraId="71224FD4" w14:textId="77777777" w:rsidR="00ED0D27" w:rsidRPr="00FF7028" w:rsidRDefault="00593E8D" w:rsidP="003229C5">
            <w:pPr>
              <w:jc w:val="right"/>
              <w:rPr>
                <w:sz w:val="22"/>
                <w:szCs w:val="22"/>
              </w:rPr>
            </w:pPr>
            <w:r>
              <w:rPr>
                <w:sz w:val="22"/>
                <w:szCs w:val="22"/>
              </w:rPr>
              <w:t>0</w:t>
            </w:r>
          </w:p>
        </w:tc>
      </w:tr>
      <w:tr w:rsidR="005B59AC" w:rsidRPr="00FF7028" w14:paraId="282D0BED" w14:textId="77777777" w:rsidTr="003229C5">
        <w:tc>
          <w:tcPr>
            <w:tcW w:w="2261" w:type="dxa"/>
            <w:tcMar>
              <w:top w:w="0" w:type="dxa"/>
              <w:left w:w="108" w:type="dxa"/>
              <w:bottom w:w="0" w:type="dxa"/>
              <w:right w:w="108" w:type="dxa"/>
            </w:tcMar>
          </w:tcPr>
          <w:p w14:paraId="3489FFC1" w14:textId="77777777" w:rsidR="005B59AC" w:rsidRDefault="005B59AC" w:rsidP="0008532A">
            <w:pPr>
              <w:rPr>
                <w:sz w:val="22"/>
                <w:szCs w:val="22"/>
              </w:rPr>
            </w:pPr>
            <w:r>
              <w:rPr>
                <w:sz w:val="22"/>
                <w:szCs w:val="22"/>
              </w:rPr>
              <w:t>Total</w:t>
            </w:r>
            <w:r w:rsidR="001A2F71">
              <w:rPr>
                <w:sz w:val="22"/>
                <w:szCs w:val="22"/>
              </w:rPr>
              <w:t xml:space="preserve"> number of projects submitted for research ethics review</w:t>
            </w:r>
            <w:r w:rsidR="00593E8D">
              <w:rPr>
                <w:sz w:val="22"/>
                <w:szCs w:val="22"/>
              </w:rPr>
              <w:t>*</w:t>
            </w:r>
          </w:p>
        </w:tc>
        <w:tc>
          <w:tcPr>
            <w:tcW w:w="1668" w:type="dxa"/>
          </w:tcPr>
          <w:p w14:paraId="2D2552B3" w14:textId="77777777" w:rsidR="003229C5" w:rsidRDefault="003229C5" w:rsidP="00191444">
            <w:pPr>
              <w:jc w:val="center"/>
              <w:rPr>
                <w:color w:val="000000"/>
                <w:sz w:val="22"/>
                <w:szCs w:val="22"/>
              </w:rPr>
            </w:pPr>
          </w:p>
          <w:p w14:paraId="0BE270BA" w14:textId="77777777" w:rsidR="005B59AC" w:rsidRDefault="001A2F71" w:rsidP="00191444">
            <w:pPr>
              <w:jc w:val="center"/>
              <w:rPr>
                <w:color w:val="000000"/>
                <w:sz w:val="22"/>
                <w:szCs w:val="22"/>
              </w:rPr>
            </w:pPr>
            <w:r>
              <w:rPr>
                <w:color w:val="000000"/>
                <w:sz w:val="22"/>
                <w:szCs w:val="22"/>
              </w:rPr>
              <w:t>1,778</w:t>
            </w:r>
          </w:p>
        </w:tc>
        <w:tc>
          <w:tcPr>
            <w:tcW w:w="1779" w:type="dxa"/>
            <w:tcMar>
              <w:top w:w="0" w:type="dxa"/>
              <w:left w:w="108" w:type="dxa"/>
              <w:bottom w:w="0" w:type="dxa"/>
              <w:right w:w="108" w:type="dxa"/>
            </w:tcMar>
          </w:tcPr>
          <w:p w14:paraId="090B3EEE" w14:textId="77777777" w:rsidR="003229C5" w:rsidRDefault="003229C5" w:rsidP="00191444">
            <w:pPr>
              <w:jc w:val="center"/>
              <w:rPr>
                <w:color w:val="000000"/>
                <w:sz w:val="22"/>
                <w:szCs w:val="22"/>
              </w:rPr>
            </w:pPr>
          </w:p>
          <w:p w14:paraId="0F79DC26" w14:textId="77777777" w:rsidR="005B59AC" w:rsidRPr="00FF7028" w:rsidRDefault="001A2F71" w:rsidP="00191444">
            <w:pPr>
              <w:jc w:val="center"/>
              <w:rPr>
                <w:color w:val="000000"/>
                <w:sz w:val="22"/>
                <w:szCs w:val="22"/>
              </w:rPr>
            </w:pPr>
            <w:r>
              <w:rPr>
                <w:color w:val="000000"/>
                <w:sz w:val="22"/>
                <w:szCs w:val="22"/>
              </w:rPr>
              <w:t>1,851</w:t>
            </w:r>
          </w:p>
        </w:tc>
        <w:tc>
          <w:tcPr>
            <w:tcW w:w="1780" w:type="dxa"/>
            <w:tcMar>
              <w:top w:w="0" w:type="dxa"/>
              <w:left w:w="108" w:type="dxa"/>
              <w:bottom w:w="0" w:type="dxa"/>
              <w:right w:w="108" w:type="dxa"/>
            </w:tcMar>
          </w:tcPr>
          <w:p w14:paraId="50FF4D4F" w14:textId="77777777" w:rsidR="003229C5" w:rsidRDefault="003229C5" w:rsidP="00191444">
            <w:pPr>
              <w:jc w:val="center"/>
              <w:rPr>
                <w:sz w:val="22"/>
                <w:szCs w:val="22"/>
              </w:rPr>
            </w:pPr>
          </w:p>
          <w:p w14:paraId="6D45AFAE" w14:textId="77777777" w:rsidR="005B59AC" w:rsidRPr="00FF7028" w:rsidRDefault="001A2F71" w:rsidP="00191444">
            <w:pPr>
              <w:jc w:val="center"/>
              <w:rPr>
                <w:sz w:val="22"/>
                <w:szCs w:val="22"/>
              </w:rPr>
            </w:pPr>
            <w:r>
              <w:rPr>
                <w:sz w:val="22"/>
                <w:szCs w:val="22"/>
              </w:rPr>
              <w:t>1</w:t>
            </w:r>
            <w:r w:rsidR="00BB4E71">
              <w:rPr>
                <w:sz w:val="22"/>
                <w:szCs w:val="22"/>
              </w:rPr>
              <w:t>,</w:t>
            </w:r>
            <w:r>
              <w:rPr>
                <w:sz w:val="22"/>
                <w:szCs w:val="22"/>
              </w:rPr>
              <w:t>948</w:t>
            </w:r>
          </w:p>
        </w:tc>
        <w:tc>
          <w:tcPr>
            <w:tcW w:w="1417" w:type="dxa"/>
          </w:tcPr>
          <w:p w14:paraId="25719A34" w14:textId="77777777" w:rsidR="003229C5" w:rsidRDefault="003229C5" w:rsidP="00191444">
            <w:pPr>
              <w:jc w:val="center"/>
              <w:rPr>
                <w:sz w:val="22"/>
                <w:szCs w:val="22"/>
              </w:rPr>
            </w:pPr>
          </w:p>
          <w:p w14:paraId="12357743" w14:textId="77777777" w:rsidR="005B59AC" w:rsidRPr="00FF7028" w:rsidRDefault="001A2F71" w:rsidP="00191444">
            <w:pPr>
              <w:jc w:val="center"/>
              <w:rPr>
                <w:sz w:val="22"/>
                <w:szCs w:val="22"/>
              </w:rPr>
            </w:pPr>
            <w:r>
              <w:rPr>
                <w:sz w:val="22"/>
                <w:szCs w:val="22"/>
              </w:rPr>
              <w:t>2</w:t>
            </w:r>
            <w:r w:rsidR="00BB4E71">
              <w:rPr>
                <w:sz w:val="22"/>
                <w:szCs w:val="22"/>
              </w:rPr>
              <w:t>,</w:t>
            </w:r>
            <w:r>
              <w:rPr>
                <w:sz w:val="22"/>
                <w:szCs w:val="22"/>
              </w:rPr>
              <w:t>124</w:t>
            </w:r>
          </w:p>
        </w:tc>
      </w:tr>
    </w:tbl>
    <w:p w14:paraId="632F3A9E" w14:textId="77777777" w:rsidR="00785DC7" w:rsidRDefault="00785DC7" w:rsidP="00DE1780">
      <w:pPr>
        <w:pStyle w:val="ListParagraph"/>
        <w:rPr>
          <w:sz w:val="22"/>
          <w:szCs w:val="22"/>
        </w:rPr>
      </w:pPr>
    </w:p>
    <w:p w14:paraId="25E8B018" w14:textId="77777777" w:rsidR="00785DC7" w:rsidRDefault="00785DC7" w:rsidP="00DE1780">
      <w:pPr>
        <w:pStyle w:val="ListParagraph"/>
        <w:rPr>
          <w:sz w:val="22"/>
          <w:szCs w:val="22"/>
        </w:rPr>
      </w:pPr>
    </w:p>
    <w:p w14:paraId="6AB84363" w14:textId="77777777" w:rsidR="002B1D96" w:rsidRDefault="001F09E7" w:rsidP="00DE1780">
      <w:pPr>
        <w:pStyle w:val="ListParagraph"/>
        <w:rPr>
          <w:sz w:val="22"/>
          <w:szCs w:val="22"/>
        </w:rPr>
      </w:pPr>
      <w:r>
        <w:rPr>
          <w:sz w:val="22"/>
          <w:szCs w:val="22"/>
        </w:rPr>
        <w:t xml:space="preserve">Projects submitted for </w:t>
      </w:r>
      <w:r w:rsidR="002B1D96" w:rsidRPr="002B1D96">
        <w:rPr>
          <w:sz w:val="22"/>
          <w:szCs w:val="22"/>
        </w:rPr>
        <w:t xml:space="preserve">Health Research Authority </w:t>
      </w:r>
      <w:r>
        <w:rPr>
          <w:sz w:val="22"/>
          <w:szCs w:val="22"/>
        </w:rPr>
        <w:t xml:space="preserve">Approval </w:t>
      </w:r>
      <w:r w:rsidR="002B1D96" w:rsidRPr="002B1D96">
        <w:rPr>
          <w:sz w:val="22"/>
          <w:szCs w:val="22"/>
        </w:rPr>
        <w:t xml:space="preserve">(including </w:t>
      </w:r>
      <w:r w:rsidR="00FD574B" w:rsidRPr="002B1D96">
        <w:rPr>
          <w:sz w:val="22"/>
          <w:szCs w:val="22"/>
        </w:rPr>
        <w:t xml:space="preserve">NHS Research Ethics </w:t>
      </w:r>
      <w:r w:rsidR="002B1D96" w:rsidRPr="002B1D96">
        <w:rPr>
          <w:sz w:val="22"/>
          <w:szCs w:val="22"/>
        </w:rPr>
        <w:t>Committee) review</w:t>
      </w:r>
    </w:p>
    <w:p w14:paraId="39FE0F6C" w14:textId="77777777" w:rsidR="00E57D7A" w:rsidRPr="002B1D96" w:rsidRDefault="00E57D7A" w:rsidP="00DE1780">
      <w:pPr>
        <w:pStyle w:val="ListParagraph"/>
        <w:rPr>
          <w:sz w:val="22"/>
          <w:szCs w:val="22"/>
        </w:rPr>
      </w:pPr>
    </w:p>
    <w:p w14:paraId="62A26FA2" w14:textId="77777777" w:rsidR="002B1D96" w:rsidRDefault="002B1D96" w:rsidP="00DE1780">
      <w:pPr>
        <w:pStyle w:val="ListParagraph"/>
        <w:rPr>
          <w:sz w:val="22"/>
          <w:szCs w:val="22"/>
          <w:highlight w:val="yellow"/>
        </w:rPr>
      </w:pPr>
    </w:p>
    <w:tbl>
      <w:tblPr>
        <w:tblpPr w:leftFromText="180" w:rightFromText="180" w:vertAnchor="text" w:horzAnchor="margin" w:tblpXSpec="right" w:tblpY="-18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1"/>
        <w:gridCol w:w="1700"/>
        <w:gridCol w:w="1910"/>
        <w:gridCol w:w="1868"/>
        <w:gridCol w:w="1168"/>
      </w:tblGrid>
      <w:tr w:rsidR="00ED7BBF" w:rsidRPr="00FF7028" w14:paraId="1CEAFC77" w14:textId="77777777" w:rsidTr="00ED7BBF">
        <w:tc>
          <w:tcPr>
            <w:tcW w:w="2251" w:type="dxa"/>
            <w:tcMar>
              <w:top w:w="0" w:type="dxa"/>
              <w:left w:w="108" w:type="dxa"/>
              <w:bottom w:w="0" w:type="dxa"/>
              <w:right w:w="108" w:type="dxa"/>
            </w:tcMar>
          </w:tcPr>
          <w:p w14:paraId="0CA18C0C" w14:textId="77777777" w:rsidR="00ED7BBF" w:rsidRPr="00FF7028" w:rsidRDefault="00ED7BBF" w:rsidP="0008532A">
            <w:pPr>
              <w:rPr>
                <w:sz w:val="22"/>
                <w:szCs w:val="22"/>
              </w:rPr>
            </w:pPr>
          </w:p>
        </w:tc>
        <w:tc>
          <w:tcPr>
            <w:tcW w:w="1700" w:type="dxa"/>
          </w:tcPr>
          <w:p w14:paraId="2C8654F1" w14:textId="77777777" w:rsidR="00ED7BBF" w:rsidRDefault="00ED7BBF" w:rsidP="003229C5">
            <w:pPr>
              <w:jc w:val="center"/>
              <w:rPr>
                <w:sz w:val="22"/>
                <w:szCs w:val="22"/>
              </w:rPr>
            </w:pPr>
            <w:r>
              <w:rPr>
                <w:sz w:val="22"/>
                <w:szCs w:val="22"/>
              </w:rPr>
              <w:t>2021</w:t>
            </w:r>
          </w:p>
        </w:tc>
        <w:tc>
          <w:tcPr>
            <w:tcW w:w="1910" w:type="dxa"/>
            <w:tcMar>
              <w:top w:w="0" w:type="dxa"/>
              <w:left w:w="108" w:type="dxa"/>
              <w:bottom w:w="0" w:type="dxa"/>
              <w:right w:w="108" w:type="dxa"/>
            </w:tcMar>
            <w:hideMark/>
          </w:tcPr>
          <w:p w14:paraId="38757E50" w14:textId="77777777" w:rsidR="00ED7BBF" w:rsidRPr="00FF7028" w:rsidRDefault="00ED7BBF" w:rsidP="003229C5">
            <w:pPr>
              <w:jc w:val="center"/>
              <w:rPr>
                <w:sz w:val="22"/>
                <w:szCs w:val="22"/>
              </w:rPr>
            </w:pPr>
            <w:r>
              <w:rPr>
                <w:sz w:val="22"/>
                <w:szCs w:val="22"/>
              </w:rPr>
              <w:t>2020</w:t>
            </w:r>
          </w:p>
        </w:tc>
        <w:tc>
          <w:tcPr>
            <w:tcW w:w="1868" w:type="dxa"/>
            <w:tcMar>
              <w:top w:w="0" w:type="dxa"/>
              <w:left w:w="108" w:type="dxa"/>
              <w:bottom w:w="0" w:type="dxa"/>
              <w:right w:w="108" w:type="dxa"/>
            </w:tcMar>
          </w:tcPr>
          <w:p w14:paraId="0E7B97F6" w14:textId="77777777" w:rsidR="00ED7BBF" w:rsidRPr="00FF7028" w:rsidRDefault="00ED7BBF" w:rsidP="003229C5">
            <w:pPr>
              <w:jc w:val="center"/>
              <w:rPr>
                <w:sz w:val="22"/>
                <w:szCs w:val="22"/>
              </w:rPr>
            </w:pPr>
            <w:r>
              <w:rPr>
                <w:sz w:val="22"/>
                <w:szCs w:val="22"/>
              </w:rPr>
              <w:t>2019</w:t>
            </w:r>
          </w:p>
        </w:tc>
        <w:tc>
          <w:tcPr>
            <w:tcW w:w="1168" w:type="dxa"/>
          </w:tcPr>
          <w:p w14:paraId="36816420" w14:textId="77777777" w:rsidR="00ED7BBF" w:rsidRPr="00FF7028" w:rsidRDefault="00ED7BBF" w:rsidP="003229C5">
            <w:pPr>
              <w:jc w:val="center"/>
              <w:rPr>
                <w:sz w:val="22"/>
                <w:szCs w:val="22"/>
              </w:rPr>
            </w:pPr>
            <w:r>
              <w:rPr>
                <w:sz w:val="22"/>
                <w:szCs w:val="22"/>
              </w:rPr>
              <w:t>2018</w:t>
            </w:r>
          </w:p>
        </w:tc>
      </w:tr>
      <w:tr w:rsidR="00ED7BBF" w:rsidRPr="00FF7028" w14:paraId="1A973B16" w14:textId="77777777" w:rsidTr="003229C5">
        <w:tc>
          <w:tcPr>
            <w:tcW w:w="2251" w:type="dxa"/>
            <w:tcMar>
              <w:top w:w="0" w:type="dxa"/>
              <w:left w:w="108" w:type="dxa"/>
              <w:bottom w:w="0" w:type="dxa"/>
              <w:right w:w="108" w:type="dxa"/>
            </w:tcMar>
            <w:hideMark/>
          </w:tcPr>
          <w:p w14:paraId="7DE416BA" w14:textId="77777777" w:rsidR="00ED7BBF" w:rsidRPr="00FF7028" w:rsidRDefault="00ED7BBF" w:rsidP="0008532A">
            <w:pPr>
              <w:rPr>
                <w:sz w:val="22"/>
                <w:szCs w:val="22"/>
              </w:rPr>
            </w:pPr>
            <w:r w:rsidRPr="00FF7028">
              <w:rPr>
                <w:sz w:val="22"/>
                <w:szCs w:val="22"/>
              </w:rPr>
              <w:t xml:space="preserve">Studies reviewed for Sponsorship and HRA Approval  </w:t>
            </w:r>
          </w:p>
        </w:tc>
        <w:tc>
          <w:tcPr>
            <w:tcW w:w="1700" w:type="dxa"/>
            <w:vAlign w:val="center"/>
          </w:tcPr>
          <w:p w14:paraId="3248D1EF" w14:textId="77777777" w:rsidR="00ED7BBF" w:rsidRDefault="008D3019" w:rsidP="003229C5">
            <w:pPr>
              <w:jc w:val="center"/>
              <w:rPr>
                <w:sz w:val="22"/>
                <w:szCs w:val="22"/>
              </w:rPr>
            </w:pPr>
            <w:r>
              <w:rPr>
                <w:sz w:val="22"/>
                <w:szCs w:val="22"/>
              </w:rPr>
              <w:t>86</w:t>
            </w:r>
          </w:p>
        </w:tc>
        <w:tc>
          <w:tcPr>
            <w:tcW w:w="1910" w:type="dxa"/>
            <w:tcMar>
              <w:top w:w="0" w:type="dxa"/>
              <w:left w:w="108" w:type="dxa"/>
              <w:bottom w:w="0" w:type="dxa"/>
              <w:right w:w="108" w:type="dxa"/>
            </w:tcMar>
            <w:vAlign w:val="center"/>
            <w:hideMark/>
          </w:tcPr>
          <w:p w14:paraId="2EAA9B1C" w14:textId="77777777" w:rsidR="00ED7BBF" w:rsidRPr="00FF7028" w:rsidRDefault="00ED7BBF" w:rsidP="003229C5">
            <w:pPr>
              <w:jc w:val="center"/>
              <w:rPr>
                <w:sz w:val="22"/>
                <w:szCs w:val="22"/>
              </w:rPr>
            </w:pPr>
            <w:r>
              <w:rPr>
                <w:sz w:val="22"/>
                <w:szCs w:val="22"/>
              </w:rPr>
              <w:t>85</w:t>
            </w:r>
            <w:r w:rsidRPr="00326512">
              <w:rPr>
                <w:sz w:val="22"/>
                <w:szCs w:val="22"/>
              </w:rPr>
              <w:t xml:space="preserve"> (</w:t>
            </w:r>
            <w:r>
              <w:rPr>
                <w:sz w:val="22"/>
                <w:szCs w:val="22"/>
              </w:rPr>
              <w:t xml:space="preserve">this </w:t>
            </w:r>
            <w:r w:rsidRPr="00326512">
              <w:rPr>
                <w:sz w:val="22"/>
                <w:szCs w:val="22"/>
              </w:rPr>
              <w:t>includes 4 where UoB is the National Coordinating Centre)</w:t>
            </w:r>
          </w:p>
          <w:p w14:paraId="620D607B" w14:textId="77777777" w:rsidR="00ED7BBF" w:rsidRPr="00FF7028" w:rsidRDefault="00ED7BBF" w:rsidP="003229C5">
            <w:pPr>
              <w:jc w:val="center"/>
              <w:rPr>
                <w:sz w:val="22"/>
                <w:szCs w:val="22"/>
              </w:rPr>
            </w:pPr>
          </w:p>
        </w:tc>
        <w:tc>
          <w:tcPr>
            <w:tcW w:w="1868" w:type="dxa"/>
            <w:tcMar>
              <w:top w:w="0" w:type="dxa"/>
              <w:left w:w="108" w:type="dxa"/>
              <w:bottom w:w="0" w:type="dxa"/>
              <w:right w:w="108" w:type="dxa"/>
            </w:tcMar>
            <w:vAlign w:val="center"/>
          </w:tcPr>
          <w:p w14:paraId="363B2A52" w14:textId="77777777" w:rsidR="00ED7BBF" w:rsidRPr="00FF7028" w:rsidRDefault="00ED7BBF" w:rsidP="003229C5">
            <w:pPr>
              <w:jc w:val="center"/>
              <w:rPr>
                <w:sz w:val="22"/>
                <w:szCs w:val="22"/>
              </w:rPr>
            </w:pPr>
            <w:r w:rsidRPr="00FF7028">
              <w:rPr>
                <w:sz w:val="22"/>
                <w:szCs w:val="22"/>
              </w:rPr>
              <w:t>88 (this includes 5 where UoB is the National Co-ordinating Centre)</w:t>
            </w:r>
          </w:p>
          <w:p w14:paraId="16D36B40" w14:textId="77777777" w:rsidR="00ED7BBF" w:rsidRPr="00FF7028" w:rsidRDefault="00ED7BBF" w:rsidP="003229C5">
            <w:pPr>
              <w:jc w:val="center"/>
              <w:rPr>
                <w:sz w:val="22"/>
                <w:szCs w:val="22"/>
              </w:rPr>
            </w:pPr>
          </w:p>
        </w:tc>
        <w:tc>
          <w:tcPr>
            <w:tcW w:w="1168" w:type="dxa"/>
            <w:vAlign w:val="center"/>
          </w:tcPr>
          <w:p w14:paraId="47C63976" w14:textId="77777777" w:rsidR="00ED7BBF" w:rsidRPr="00FF7028" w:rsidRDefault="00ED7BBF" w:rsidP="003229C5">
            <w:pPr>
              <w:jc w:val="center"/>
              <w:rPr>
                <w:sz w:val="22"/>
                <w:szCs w:val="22"/>
              </w:rPr>
            </w:pPr>
            <w:r>
              <w:rPr>
                <w:sz w:val="22"/>
                <w:szCs w:val="22"/>
              </w:rPr>
              <w:t>67</w:t>
            </w:r>
          </w:p>
        </w:tc>
      </w:tr>
      <w:tr w:rsidR="00ED7BBF" w:rsidRPr="00FF7028" w14:paraId="48BE73F2" w14:textId="77777777" w:rsidTr="003229C5">
        <w:tc>
          <w:tcPr>
            <w:tcW w:w="2251" w:type="dxa"/>
            <w:tcMar>
              <w:top w:w="0" w:type="dxa"/>
              <w:left w:w="108" w:type="dxa"/>
              <w:bottom w:w="0" w:type="dxa"/>
              <w:right w:w="108" w:type="dxa"/>
            </w:tcMar>
            <w:hideMark/>
          </w:tcPr>
          <w:p w14:paraId="36C27EF4" w14:textId="77777777" w:rsidR="00ED7BBF" w:rsidRPr="00FF7028" w:rsidRDefault="00ED7BBF" w:rsidP="0008532A">
            <w:pPr>
              <w:rPr>
                <w:sz w:val="22"/>
                <w:szCs w:val="22"/>
              </w:rPr>
            </w:pPr>
            <w:r w:rsidRPr="00FF7028">
              <w:rPr>
                <w:sz w:val="22"/>
                <w:szCs w:val="22"/>
              </w:rPr>
              <w:t xml:space="preserve">Amendments processed </w:t>
            </w:r>
          </w:p>
          <w:p w14:paraId="5E8D26D0" w14:textId="77777777" w:rsidR="00ED7BBF" w:rsidRPr="00FF7028" w:rsidRDefault="00ED7BBF" w:rsidP="0008532A">
            <w:pPr>
              <w:rPr>
                <w:sz w:val="22"/>
                <w:szCs w:val="22"/>
              </w:rPr>
            </w:pPr>
          </w:p>
        </w:tc>
        <w:tc>
          <w:tcPr>
            <w:tcW w:w="1700" w:type="dxa"/>
            <w:vAlign w:val="center"/>
          </w:tcPr>
          <w:p w14:paraId="6816E109" w14:textId="77777777" w:rsidR="00ED7BBF" w:rsidRDefault="008D3019" w:rsidP="003229C5">
            <w:pPr>
              <w:jc w:val="center"/>
              <w:rPr>
                <w:sz w:val="22"/>
                <w:szCs w:val="22"/>
              </w:rPr>
            </w:pPr>
            <w:r>
              <w:rPr>
                <w:sz w:val="22"/>
                <w:szCs w:val="22"/>
              </w:rPr>
              <w:t>176</w:t>
            </w:r>
          </w:p>
        </w:tc>
        <w:tc>
          <w:tcPr>
            <w:tcW w:w="1910" w:type="dxa"/>
            <w:tcMar>
              <w:top w:w="0" w:type="dxa"/>
              <w:left w:w="108" w:type="dxa"/>
              <w:bottom w:w="0" w:type="dxa"/>
              <w:right w:w="108" w:type="dxa"/>
            </w:tcMar>
            <w:vAlign w:val="center"/>
            <w:hideMark/>
          </w:tcPr>
          <w:p w14:paraId="50C4108D" w14:textId="77777777" w:rsidR="00ED7BBF" w:rsidRPr="00FF7028" w:rsidRDefault="00ED7BBF" w:rsidP="003229C5">
            <w:pPr>
              <w:jc w:val="center"/>
              <w:rPr>
                <w:sz w:val="22"/>
                <w:szCs w:val="22"/>
              </w:rPr>
            </w:pPr>
            <w:r>
              <w:rPr>
                <w:sz w:val="22"/>
                <w:szCs w:val="22"/>
              </w:rPr>
              <w:t>228</w:t>
            </w:r>
          </w:p>
        </w:tc>
        <w:tc>
          <w:tcPr>
            <w:tcW w:w="1868" w:type="dxa"/>
            <w:tcMar>
              <w:top w:w="0" w:type="dxa"/>
              <w:left w:w="108" w:type="dxa"/>
              <w:bottom w:w="0" w:type="dxa"/>
              <w:right w:w="108" w:type="dxa"/>
            </w:tcMar>
            <w:vAlign w:val="center"/>
          </w:tcPr>
          <w:p w14:paraId="0CBBDBD9" w14:textId="77777777" w:rsidR="00ED7BBF" w:rsidRPr="00FF7028" w:rsidRDefault="00ED7BBF" w:rsidP="003229C5">
            <w:pPr>
              <w:jc w:val="center"/>
              <w:rPr>
                <w:sz w:val="22"/>
                <w:szCs w:val="22"/>
              </w:rPr>
            </w:pPr>
            <w:r>
              <w:rPr>
                <w:sz w:val="22"/>
                <w:szCs w:val="22"/>
              </w:rPr>
              <w:t>244</w:t>
            </w:r>
          </w:p>
        </w:tc>
        <w:tc>
          <w:tcPr>
            <w:tcW w:w="1168" w:type="dxa"/>
            <w:vAlign w:val="center"/>
          </w:tcPr>
          <w:p w14:paraId="1DEDD985" w14:textId="77777777" w:rsidR="00ED7BBF" w:rsidRPr="00FF7028" w:rsidRDefault="00ED7BBF" w:rsidP="003229C5">
            <w:pPr>
              <w:jc w:val="center"/>
              <w:rPr>
                <w:sz w:val="22"/>
                <w:szCs w:val="22"/>
              </w:rPr>
            </w:pPr>
            <w:r>
              <w:rPr>
                <w:sz w:val="22"/>
                <w:szCs w:val="22"/>
              </w:rPr>
              <w:t>206</w:t>
            </w:r>
          </w:p>
        </w:tc>
      </w:tr>
    </w:tbl>
    <w:p w14:paraId="4D72E055" w14:textId="77777777" w:rsidR="00435DFB" w:rsidRDefault="00435DFB" w:rsidP="00435DFB">
      <w:pPr>
        <w:pStyle w:val="ListParagraph"/>
        <w:ind w:left="0" w:firstLine="720"/>
        <w:rPr>
          <w:sz w:val="22"/>
          <w:szCs w:val="22"/>
        </w:rPr>
      </w:pPr>
    </w:p>
    <w:p w14:paraId="4B14F96A" w14:textId="77777777" w:rsidR="00435DFB" w:rsidRDefault="00435DFB" w:rsidP="00435DFB">
      <w:pPr>
        <w:pStyle w:val="ListParagraph"/>
        <w:ind w:left="0" w:firstLine="720"/>
        <w:rPr>
          <w:sz w:val="22"/>
          <w:szCs w:val="22"/>
        </w:rPr>
      </w:pPr>
    </w:p>
    <w:p w14:paraId="7EB13DDB" w14:textId="77777777" w:rsidR="00435DFB" w:rsidRDefault="00435DFB" w:rsidP="00435DFB">
      <w:pPr>
        <w:pStyle w:val="ListParagraph"/>
        <w:ind w:left="0" w:firstLine="720"/>
        <w:rPr>
          <w:sz w:val="22"/>
          <w:szCs w:val="22"/>
        </w:rPr>
      </w:pPr>
    </w:p>
    <w:p w14:paraId="709EFF67" w14:textId="77777777" w:rsidR="00435DFB" w:rsidRDefault="00435DFB" w:rsidP="00435DFB">
      <w:pPr>
        <w:pStyle w:val="ListParagraph"/>
        <w:ind w:left="0" w:firstLine="720"/>
        <w:rPr>
          <w:sz w:val="22"/>
          <w:szCs w:val="22"/>
        </w:rPr>
      </w:pPr>
    </w:p>
    <w:p w14:paraId="1EB91492" w14:textId="77777777" w:rsidR="00435DFB" w:rsidRDefault="00435DFB" w:rsidP="00435DFB">
      <w:pPr>
        <w:pStyle w:val="ListParagraph"/>
        <w:ind w:left="0" w:firstLine="720"/>
        <w:rPr>
          <w:sz w:val="22"/>
          <w:szCs w:val="22"/>
        </w:rPr>
      </w:pPr>
    </w:p>
    <w:p w14:paraId="3D56EC26" w14:textId="77777777" w:rsidR="00435DFB" w:rsidRDefault="00435DFB" w:rsidP="00435DFB">
      <w:pPr>
        <w:pStyle w:val="ListParagraph"/>
        <w:ind w:left="0" w:firstLine="720"/>
        <w:rPr>
          <w:sz w:val="22"/>
          <w:szCs w:val="22"/>
        </w:rPr>
      </w:pPr>
    </w:p>
    <w:p w14:paraId="4AAE2FBE" w14:textId="77777777" w:rsidR="00435DFB" w:rsidRDefault="00435DFB" w:rsidP="00435DFB">
      <w:pPr>
        <w:pStyle w:val="ListParagraph"/>
        <w:ind w:left="0" w:firstLine="720"/>
        <w:rPr>
          <w:sz w:val="22"/>
          <w:szCs w:val="22"/>
        </w:rPr>
      </w:pPr>
    </w:p>
    <w:p w14:paraId="176A5FDF" w14:textId="77777777" w:rsidR="00435DFB" w:rsidRDefault="00435DFB" w:rsidP="00435DFB">
      <w:pPr>
        <w:pStyle w:val="ListParagraph"/>
        <w:ind w:left="0" w:firstLine="720"/>
        <w:rPr>
          <w:sz w:val="22"/>
          <w:szCs w:val="22"/>
        </w:rPr>
      </w:pPr>
    </w:p>
    <w:p w14:paraId="66ECAB4D" w14:textId="77777777" w:rsidR="00435DFB" w:rsidRDefault="00435DFB" w:rsidP="00435DFB">
      <w:pPr>
        <w:pStyle w:val="ListParagraph"/>
        <w:ind w:left="0" w:firstLine="720"/>
        <w:rPr>
          <w:sz w:val="22"/>
          <w:szCs w:val="22"/>
        </w:rPr>
      </w:pPr>
    </w:p>
    <w:p w14:paraId="20749924" w14:textId="77777777" w:rsidR="00435DFB" w:rsidRDefault="00435DFB" w:rsidP="00435DFB">
      <w:pPr>
        <w:pStyle w:val="ListParagraph"/>
        <w:ind w:left="0" w:firstLine="720"/>
        <w:rPr>
          <w:sz w:val="22"/>
          <w:szCs w:val="22"/>
        </w:rPr>
      </w:pPr>
    </w:p>
    <w:p w14:paraId="3423D0B2" w14:textId="77777777" w:rsidR="00435DFB" w:rsidRDefault="00435DFB" w:rsidP="00435DFB">
      <w:pPr>
        <w:pStyle w:val="ListParagraph"/>
        <w:ind w:left="0" w:firstLine="720"/>
        <w:rPr>
          <w:sz w:val="22"/>
          <w:szCs w:val="22"/>
        </w:rPr>
      </w:pPr>
    </w:p>
    <w:p w14:paraId="5D0A159A" w14:textId="77777777" w:rsidR="00ED5265" w:rsidRDefault="002C1829" w:rsidP="00ED5265">
      <w:pPr>
        <w:rPr>
          <w:sz w:val="22"/>
          <w:szCs w:val="22"/>
        </w:rPr>
      </w:pPr>
      <w:r>
        <w:rPr>
          <w:sz w:val="22"/>
          <w:szCs w:val="22"/>
        </w:rPr>
        <w:tab/>
      </w:r>
      <w:r w:rsidR="00593E8D">
        <w:rPr>
          <w:sz w:val="22"/>
          <w:szCs w:val="22"/>
        </w:rPr>
        <w:t>*</w:t>
      </w:r>
      <w:r w:rsidR="00477E64">
        <w:rPr>
          <w:sz w:val="22"/>
          <w:szCs w:val="22"/>
        </w:rPr>
        <w:t>In addition</w:t>
      </w:r>
      <w:r w:rsidR="001C59DE">
        <w:rPr>
          <w:sz w:val="22"/>
          <w:szCs w:val="22"/>
        </w:rPr>
        <w:t>,</w:t>
      </w:r>
      <w:r w:rsidR="00477E64">
        <w:rPr>
          <w:sz w:val="22"/>
          <w:szCs w:val="22"/>
        </w:rPr>
        <w:t xml:space="preserve"> the University managed research that involved animals in line with Home Office </w:t>
      </w:r>
      <w:r w:rsidR="00435DFB">
        <w:rPr>
          <w:sz w:val="22"/>
          <w:szCs w:val="22"/>
        </w:rPr>
        <w:tab/>
      </w:r>
      <w:r w:rsidR="00477E64">
        <w:rPr>
          <w:sz w:val="22"/>
          <w:szCs w:val="22"/>
        </w:rPr>
        <w:t xml:space="preserve">Regulations and ARRIVE guidelines. </w:t>
      </w:r>
    </w:p>
    <w:p w14:paraId="66EBA616" w14:textId="77777777" w:rsidR="005B59AC" w:rsidRPr="00CA7A12" w:rsidRDefault="005B59AC" w:rsidP="00ED5265">
      <w:pPr>
        <w:rPr>
          <w:sz w:val="22"/>
          <w:szCs w:val="22"/>
        </w:rPr>
      </w:pPr>
    </w:p>
    <w:p w14:paraId="794F7E78" w14:textId="77777777" w:rsidR="00735C21" w:rsidRDefault="00961DA5" w:rsidP="00961DA5">
      <w:pPr>
        <w:pStyle w:val="ListParagraph"/>
        <w:ind w:left="0"/>
        <w:rPr>
          <w:sz w:val="22"/>
          <w:szCs w:val="22"/>
        </w:rPr>
      </w:pPr>
      <w:r>
        <w:rPr>
          <w:sz w:val="22"/>
          <w:szCs w:val="22"/>
        </w:rPr>
        <w:t xml:space="preserve">3.4 </w:t>
      </w:r>
      <w:r>
        <w:rPr>
          <w:sz w:val="22"/>
          <w:szCs w:val="22"/>
        </w:rPr>
        <w:tab/>
      </w:r>
      <w:r w:rsidR="00735C21">
        <w:rPr>
          <w:sz w:val="22"/>
          <w:szCs w:val="22"/>
        </w:rPr>
        <w:t xml:space="preserve">Clinical e-pathway development </w:t>
      </w:r>
    </w:p>
    <w:p w14:paraId="79B3B1AF" w14:textId="77777777" w:rsidR="00735C21" w:rsidRDefault="00735C21" w:rsidP="00735C21">
      <w:pPr>
        <w:pStyle w:val="ListParagraph"/>
        <w:ind w:left="360"/>
        <w:rPr>
          <w:sz w:val="22"/>
          <w:szCs w:val="22"/>
        </w:rPr>
      </w:pPr>
    </w:p>
    <w:p w14:paraId="7DB47C95" w14:textId="77777777" w:rsidR="00AC5722" w:rsidRDefault="0040611B" w:rsidP="00AC5722">
      <w:pPr>
        <w:pStyle w:val="ListParagraph"/>
        <w:rPr>
          <w:sz w:val="22"/>
          <w:szCs w:val="22"/>
        </w:rPr>
      </w:pPr>
      <w:r>
        <w:rPr>
          <w:sz w:val="22"/>
          <w:szCs w:val="22"/>
        </w:rPr>
        <w:t xml:space="preserve">During this period, the Clinical Trials Oversight Committee has progressed a project to </w:t>
      </w:r>
      <w:r w:rsidR="00735C21" w:rsidRPr="00735C21">
        <w:rPr>
          <w:sz w:val="22"/>
          <w:szCs w:val="22"/>
        </w:rPr>
        <w:t>develop a multi</w:t>
      </w:r>
      <w:r w:rsidR="00AD6C2F">
        <w:rPr>
          <w:sz w:val="22"/>
          <w:szCs w:val="22"/>
        </w:rPr>
        <w:t>-</w:t>
      </w:r>
      <w:r w:rsidR="00735C21" w:rsidRPr="00735C21">
        <w:rPr>
          <w:sz w:val="22"/>
          <w:szCs w:val="22"/>
        </w:rPr>
        <w:t xml:space="preserve">professional interactive electronic research pathway to support UoB researchers and their collaborators in the Midlands, UK and overseas.  </w:t>
      </w:r>
    </w:p>
    <w:p w14:paraId="101C63A2" w14:textId="77777777" w:rsidR="00AC5722" w:rsidRDefault="00AC5722" w:rsidP="00AC5722">
      <w:pPr>
        <w:pStyle w:val="ListParagraph"/>
        <w:rPr>
          <w:sz w:val="22"/>
          <w:szCs w:val="22"/>
        </w:rPr>
      </w:pPr>
    </w:p>
    <w:p w14:paraId="2C26E8F0" w14:textId="77777777" w:rsidR="007A05FA" w:rsidRDefault="00735C21" w:rsidP="00AC5722">
      <w:pPr>
        <w:pStyle w:val="ListParagraph"/>
        <w:rPr>
          <w:sz w:val="22"/>
          <w:szCs w:val="22"/>
        </w:rPr>
      </w:pPr>
      <w:r w:rsidRPr="00735C21">
        <w:rPr>
          <w:sz w:val="22"/>
          <w:szCs w:val="22"/>
        </w:rPr>
        <w:t xml:space="preserve">The pathway will provide </w:t>
      </w:r>
      <w:r w:rsidR="0040611B">
        <w:rPr>
          <w:sz w:val="22"/>
          <w:szCs w:val="22"/>
        </w:rPr>
        <w:t xml:space="preserve">researchers with </w:t>
      </w:r>
      <w:r w:rsidRPr="00735C21">
        <w:rPr>
          <w:sz w:val="22"/>
          <w:szCs w:val="22"/>
        </w:rPr>
        <w:t xml:space="preserve">access to all aspects of research </w:t>
      </w:r>
      <w:r w:rsidR="00A76FAF">
        <w:rPr>
          <w:sz w:val="22"/>
          <w:szCs w:val="22"/>
        </w:rPr>
        <w:t xml:space="preserve">ethics, </w:t>
      </w:r>
      <w:r w:rsidRPr="00735C21">
        <w:rPr>
          <w:sz w:val="22"/>
          <w:szCs w:val="22"/>
        </w:rPr>
        <w:t>governance and quality assurance</w:t>
      </w:r>
      <w:r w:rsidR="0040611B">
        <w:rPr>
          <w:sz w:val="22"/>
          <w:szCs w:val="22"/>
        </w:rPr>
        <w:t xml:space="preserve"> via an easy to navigate online tool that will provide </w:t>
      </w:r>
      <w:r w:rsidRPr="00735C21">
        <w:rPr>
          <w:sz w:val="22"/>
          <w:szCs w:val="22"/>
        </w:rPr>
        <w:t xml:space="preserve">greater reliability of governance processes, improved researcher satisfaction, reduced </w:t>
      </w:r>
      <w:r w:rsidR="00A76FAF">
        <w:rPr>
          <w:sz w:val="22"/>
          <w:szCs w:val="22"/>
        </w:rPr>
        <w:t>set-up times and</w:t>
      </w:r>
      <w:r w:rsidRPr="00735C21">
        <w:rPr>
          <w:sz w:val="22"/>
          <w:szCs w:val="22"/>
        </w:rPr>
        <w:t xml:space="preserve"> enhanced productivity and efficiency, ultimately increased impact of clinical research on health, well-being and other key social and economic outcomes.</w:t>
      </w:r>
    </w:p>
    <w:p w14:paraId="6BC303AB" w14:textId="77777777" w:rsidR="007A05FA" w:rsidRDefault="007A05FA" w:rsidP="00961DA5">
      <w:pPr>
        <w:pStyle w:val="ListParagraph"/>
        <w:ind w:left="0"/>
        <w:rPr>
          <w:sz w:val="22"/>
          <w:szCs w:val="22"/>
        </w:rPr>
      </w:pPr>
    </w:p>
    <w:p w14:paraId="3370B813" w14:textId="77777777" w:rsidR="00D059D9" w:rsidRDefault="007A05FA" w:rsidP="00961DA5">
      <w:pPr>
        <w:pStyle w:val="ListParagraph"/>
        <w:ind w:left="0"/>
        <w:rPr>
          <w:sz w:val="22"/>
          <w:szCs w:val="22"/>
        </w:rPr>
      </w:pPr>
      <w:r>
        <w:rPr>
          <w:sz w:val="22"/>
          <w:szCs w:val="22"/>
        </w:rPr>
        <w:t>3.5</w:t>
      </w:r>
      <w:r>
        <w:rPr>
          <w:sz w:val="22"/>
          <w:szCs w:val="22"/>
        </w:rPr>
        <w:tab/>
      </w:r>
      <w:r w:rsidR="00D059D9">
        <w:rPr>
          <w:sz w:val="22"/>
          <w:szCs w:val="22"/>
        </w:rPr>
        <w:t xml:space="preserve">Speak Up Initiative </w:t>
      </w:r>
    </w:p>
    <w:p w14:paraId="06527B9C" w14:textId="77777777" w:rsidR="00D059D9" w:rsidRDefault="00D059D9" w:rsidP="00961DA5">
      <w:pPr>
        <w:pStyle w:val="ListParagraph"/>
        <w:ind w:left="0"/>
        <w:rPr>
          <w:sz w:val="22"/>
          <w:szCs w:val="22"/>
        </w:rPr>
      </w:pPr>
    </w:p>
    <w:p w14:paraId="73443423" w14:textId="33471B39" w:rsidR="00D059D9" w:rsidRDefault="00D059D9" w:rsidP="00961DA5">
      <w:pPr>
        <w:pStyle w:val="ListParagraph"/>
        <w:ind w:left="0"/>
        <w:rPr>
          <w:sz w:val="22"/>
          <w:szCs w:val="22"/>
        </w:rPr>
      </w:pPr>
      <w:r>
        <w:rPr>
          <w:sz w:val="22"/>
          <w:szCs w:val="22"/>
        </w:rPr>
        <w:tab/>
      </w:r>
      <w:r w:rsidRPr="00D059D9">
        <w:rPr>
          <w:sz w:val="22"/>
          <w:szCs w:val="22"/>
        </w:rPr>
        <w:t xml:space="preserve">The </w:t>
      </w:r>
      <w:r w:rsidR="00687880" w:rsidRPr="00687880">
        <w:rPr>
          <w:sz w:val="22"/>
          <w:szCs w:val="22"/>
        </w:rPr>
        <w:t>College of Medical and Dental Sciences</w:t>
      </w:r>
      <w:r w:rsidRPr="00D059D9">
        <w:rPr>
          <w:sz w:val="22"/>
          <w:szCs w:val="22"/>
        </w:rPr>
        <w:t xml:space="preserve"> </w:t>
      </w:r>
      <w:r>
        <w:rPr>
          <w:sz w:val="22"/>
          <w:szCs w:val="22"/>
        </w:rPr>
        <w:t xml:space="preserve">has </w:t>
      </w:r>
      <w:r w:rsidR="00687880" w:rsidRPr="00687880">
        <w:rPr>
          <w:sz w:val="22"/>
          <w:szCs w:val="22"/>
        </w:rPr>
        <w:t>adopt</w:t>
      </w:r>
      <w:r w:rsidR="00687880">
        <w:rPr>
          <w:sz w:val="22"/>
          <w:szCs w:val="22"/>
        </w:rPr>
        <w:t>ed</w:t>
      </w:r>
      <w:r w:rsidR="00687880" w:rsidRPr="00687880">
        <w:rPr>
          <w:sz w:val="22"/>
          <w:szCs w:val="22"/>
        </w:rPr>
        <w:t xml:space="preserve"> the National Guardian Office </w:t>
      </w:r>
      <w:r w:rsidR="00687880">
        <w:rPr>
          <w:sz w:val="22"/>
          <w:szCs w:val="22"/>
        </w:rPr>
        <w:tab/>
      </w:r>
      <w:r w:rsidR="00687880" w:rsidRPr="00687880">
        <w:rPr>
          <w:sz w:val="22"/>
          <w:szCs w:val="22"/>
        </w:rPr>
        <w:t xml:space="preserve">version of the Freedom to </w:t>
      </w:r>
      <w:r w:rsidR="00687880">
        <w:rPr>
          <w:sz w:val="22"/>
          <w:szCs w:val="22"/>
        </w:rPr>
        <w:t>Speak</w:t>
      </w:r>
      <w:r w:rsidR="00687880" w:rsidRPr="00687880">
        <w:rPr>
          <w:sz w:val="22"/>
          <w:szCs w:val="22"/>
        </w:rPr>
        <w:t xml:space="preserve"> Up</w:t>
      </w:r>
      <w:r w:rsidR="00687880">
        <w:rPr>
          <w:sz w:val="22"/>
          <w:szCs w:val="22"/>
        </w:rPr>
        <w:t xml:space="preserve"> </w:t>
      </w:r>
      <w:r w:rsidR="00687880" w:rsidRPr="00687880">
        <w:rPr>
          <w:sz w:val="22"/>
          <w:szCs w:val="22"/>
        </w:rPr>
        <w:t>scheme</w:t>
      </w:r>
      <w:r w:rsidR="00687880">
        <w:rPr>
          <w:sz w:val="22"/>
          <w:szCs w:val="22"/>
        </w:rPr>
        <w:t xml:space="preserve"> to enhance established </w:t>
      </w:r>
      <w:r w:rsidR="00687880" w:rsidRPr="00687880">
        <w:rPr>
          <w:sz w:val="22"/>
          <w:szCs w:val="22"/>
        </w:rPr>
        <w:t xml:space="preserve">initiatives in support of </w:t>
      </w:r>
      <w:r w:rsidR="00687880">
        <w:rPr>
          <w:sz w:val="22"/>
          <w:szCs w:val="22"/>
        </w:rPr>
        <w:tab/>
      </w:r>
      <w:r w:rsidR="00687880" w:rsidRPr="00687880">
        <w:rPr>
          <w:sz w:val="22"/>
          <w:szCs w:val="22"/>
        </w:rPr>
        <w:t>wellbeing and engagement</w:t>
      </w:r>
      <w:r w:rsidR="00687880">
        <w:rPr>
          <w:sz w:val="22"/>
          <w:szCs w:val="22"/>
        </w:rPr>
        <w:t xml:space="preserve">. </w:t>
      </w:r>
      <w:r>
        <w:rPr>
          <w:sz w:val="22"/>
          <w:szCs w:val="22"/>
        </w:rPr>
        <w:t>Speak</w:t>
      </w:r>
      <w:r w:rsidRPr="00D059D9">
        <w:rPr>
          <w:sz w:val="22"/>
          <w:szCs w:val="22"/>
        </w:rPr>
        <w:t xml:space="preserve"> Up Guardians and</w:t>
      </w:r>
      <w:r>
        <w:rPr>
          <w:sz w:val="22"/>
          <w:szCs w:val="22"/>
        </w:rPr>
        <w:t xml:space="preserve"> </w:t>
      </w:r>
      <w:r w:rsidRPr="00D059D9">
        <w:rPr>
          <w:sz w:val="22"/>
          <w:szCs w:val="22"/>
        </w:rPr>
        <w:t xml:space="preserve">Champions </w:t>
      </w:r>
      <w:r w:rsidR="00687880">
        <w:rPr>
          <w:sz w:val="22"/>
          <w:szCs w:val="22"/>
        </w:rPr>
        <w:t xml:space="preserve">have been trained to </w:t>
      </w:r>
      <w:r w:rsidRPr="00D059D9">
        <w:rPr>
          <w:sz w:val="22"/>
          <w:szCs w:val="22"/>
        </w:rPr>
        <w:t xml:space="preserve">meet </w:t>
      </w:r>
      <w:r w:rsidR="00687880">
        <w:rPr>
          <w:sz w:val="22"/>
          <w:szCs w:val="22"/>
        </w:rPr>
        <w:tab/>
      </w:r>
      <w:r w:rsidRPr="00D059D9">
        <w:rPr>
          <w:sz w:val="22"/>
          <w:szCs w:val="22"/>
        </w:rPr>
        <w:t>with staff and discuss any issues that they may wish to discuss.</w:t>
      </w:r>
      <w:r w:rsidR="00687880">
        <w:rPr>
          <w:sz w:val="22"/>
          <w:szCs w:val="22"/>
        </w:rPr>
        <w:t xml:space="preserve"> </w:t>
      </w:r>
      <w:r w:rsidR="00687880">
        <w:rPr>
          <w:sz w:val="22"/>
          <w:szCs w:val="22"/>
        </w:rPr>
        <w:tab/>
      </w:r>
    </w:p>
    <w:p w14:paraId="1A91185B" w14:textId="77777777" w:rsidR="00D059D9" w:rsidRDefault="00D059D9" w:rsidP="00961DA5">
      <w:pPr>
        <w:pStyle w:val="ListParagraph"/>
        <w:ind w:left="0"/>
        <w:rPr>
          <w:sz w:val="22"/>
          <w:szCs w:val="22"/>
        </w:rPr>
      </w:pPr>
    </w:p>
    <w:p w14:paraId="4B60156D" w14:textId="77777777" w:rsidR="00F41B08" w:rsidRPr="00961DA5" w:rsidRDefault="00D059D9" w:rsidP="00961DA5">
      <w:pPr>
        <w:pStyle w:val="ListParagraph"/>
        <w:ind w:left="0"/>
        <w:rPr>
          <w:sz w:val="22"/>
          <w:szCs w:val="22"/>
        </w:rPr>
      </w:pPr>
      <w:r>
        <w:rPr>
          <w:sz w:val="22"/>
          <w:szCs w:val="22"/>
        </w:rPr>
        <w:t>3.6</w:t>
      </w:r>
      <w:r>
        <w:rPr>
          <w:sz w:val="22"/>
          <w:szCs w:val="22"/>
        </w:rPr>
        <w:tab/>
      </w:r>
      <w:r w:rsidR="0040611B" w:rsidRPr="00961DA5">
        <w:rPr>
          <w:sz w:val="22"/>
          <w:szCs w:val="22"/>
        </w:rPr>
        <w:t>Sector wide knowledge sharing</w:t>
      </w:r>
    </w:p>
    <w:p w14:paraId="4022E38B" w14:textId="77777777" w:rsidR="00F41B08" w:rsidRPr="00F41B08" w:rsidRDefault="00F41B08" w:rsidP="00F41B08">
      <w:pPr>
        <w:pStyle w:val="ListParagraph"/>
        <w:ind w:left="360"/>
        <w:rPr>
          <w:sz w:val="22"/>
          <w:szCs w:val="22"/>
        </w:rPr>
      </w:pPr>
    </w:p>
    <w:p w14:paraId="15802962" w14:textId="77777777" w:rsidR="00D059D9" w:rsidRDefault="007A05FA" w:rsidP="00D059D9">
      <w:pPr>
        <w:pStyle w:val="ListParagraph"/>
        <w:ind w:left="0"/>
        <w:rPr>
          <w:sz w:val="22"/>
          <w:szCs w:val="22"/>
        </w:rPr>
      </w:pPr>
      <w:r>
        <w:rPr>
          <w:sz w:val="22"/>
          <w:szCs w:val="22"/>
        </w:rPr>
        <w:tab/>
      </w:r>
      <w:r w:rsidR="00D059D9">
        <w:rPr>
          <w:sz w:val="22"/>
          <w:szCs w:val="22"/>
        </w:rPr>
        <w:t xml:space="preserve">EDIS </w:t>
      </w:r>
      <w:r w:rsidR="00D059D9" w:rsidRPr="00D059D9">
        <w:rPr>
          <w:sz w:val="22"/>
          <w:szCs w:val="22"/>
        </w:rPr>
        <w:t xml:space="preserve">is a </w:t>
      </w:r>
      <w:proofErr w:type="spellStart"/>
      <w:r w:rsidR="00D059D9" w:rsidRPr="00D059D9">
        <w:rPr>
          <w:sz w:val="22"/>
          <w:szCs w:val="22"/>
        </w:rPr>
        <w:t>Wellcome</w:t>
      </w:r>
      <w:proofErr w:type="spellEnd"/>
      <w:r w:rsidR="00D059D9" w:rsidRPr="00D059D9">
        <w:rPr>
          <w:sz w:val="22"/>
          <w:szCs w:val="22"/>
        </w:rPr>
        <w:t xml:space="preserve">-hosted coalition that brings together funding bodies, learned societies, </w:t>
      </w:r>
      <w:r w:rsidR="00D059D9">
        <w:rPr>
          <w:sz w:val="22"/>
          <w:szCs w:val="22"/>
        </w:rPr>
        <w:tab/>
      </w:r>
      <w:r w:rsidR="00D059D9" w:rsidRPr="00D059D9">
        <w:rPr>
          <w:sz w:val="22"/>
          <w:szCs w:val="22"/>
        </w:rPr>
        <w:t>commercial partners</w:t>
      </w:r>
      <w:r w:rsidR="00D059D9">
        <w:rPr>
          <w:sz w:val="22"/>
          <w:szCs w:val="22"/>
        </w:rPr>
        <w:t xml:space="preserve"> and </w:t>
      </w:r>
      <w:r w:rsidR="00D059D9" w:rsidRPr="00D059D9">
        <w:rPr>
          <w:sz w:val="22"/>
          <w:szCs w:val="22"/>
        </w:rPr>
        <w:t xml:space="preserve">research institutes to drive sector-wide change in research design </w:t>
      </w:r>
      <w:r w:rsidR="00D059D9">
        <w:rPr>
          <w:sz w:val="22"/>
          <w:szCs w:val="22"/>
        </w:rPr>
        <w:tab/>
      </w:r>
      <w:r w:rsidR="00D059D9" w:rsidRPr="00D059D9">
        <w:rPr>
          <w:sz w:val="22"/>
          <w:szCs w:val="22"/>
        </w:rPr>
        <w:t xml:space="preserve">and delivery as well as equal access and success for those working within the sector. </w:t>
      </w:r>
      <w:r w:rsidR="00687880" w:rsidRPr="00687880">
        <w:rPr>
          <w:sz w:val="22"/>
          <w:szCs w:val="22"/>
        </w:rPr>
        <w:t xml:space="preserve">The </w:t>
      </w:r>
      <w:r w:rsidR="00687880">
        <w:rPr>
          <w:sz w:val="22"/>
          <w:szCs w:val="22"/>
        </w:rPr>
        <w:tab/>
      </w:r>
      <w:r w:rsidR="00687880" w:rsidRPr="00687880">
        <w:rPr>
          <w:sz w:val="22"/>
          <w:szCs w:val="22"/>
        </w:rPr>
        <w:t xml:space="preserve">College of Medical and Dental Sciences </w:t>
      </w:r>
      <w:r w:rsidR="00D059D9" w:rsidRPr="00D059D9">
        <w:rPr>
          <w:sz w:val="22"/>
          <w:szCs w:val="22"/>
        </w:rPr>
        <w:t xml:space="preserve">joined the group in March 2022 as one of the first </w:t>
      </w:r>
      <w:r w:rsidR="00687880">
        <w:rPr>
          <w:sz w:val="22"/>
          <w:szCs w:val="22"/>
        </w:rPr>
        <w:tab/>
      </w:r>
      <w:r w:rsidR="00D059D9" w:rsidRPr="00D059D9">
        <w:rPr>
          <w:sz w:val="22"/>
          <w:szCs w:val="22"/>
        </w:rPr>
        <w:t>universities to do so.</w:t>
      </w:r>
      <w:r w:rsidR="00687880">
        <w:rPr>
          <w:sz w:val="22"/>
          <w:szCs w:val="22"/>
        </w:rPr>
        <w:t xml:space="preserve"> </w:t>
      </w:r>
      <w:r w:rsidR="00D059D9" w:rsidRPr="00D059D9">
        <w:rPr>
          <w:sz w:val="22"/>
          <w:szCs w:val="22"/>
        </w:rPr>
        <w:t xml:space="preserve">Membership provides opportunities to learn from others and share </w:t>
      </w:r>
      <w:r w:rsidR="00687880">
        <w:rPr>
          <w:sz w:val="22"/>
          <w:szCs w:val="22"/>
        </w:rPr>
        <w:tab/>
      </w:r>
      <w:r w:rsidR="00D059D9" w:rsidRPr="00D059D9">
        <w:rPr>
          <w:sz w:val="22"/>
          <w:szCs w:val="22"/>
        </w:rPr>
        <w:t xml:space="preserve">our </w:t>
      </w:r>
      <w:r w:rsidR="00687880">
        <w:rPr>
          <w:sz w:val="22"/>
          <w:szCs w:val="22"/>
        </w:rPr>
        <w:tab/>
      </w:r>
      <w:r w:rsidR="00D059D9" w:rsidRPr="00D059D9">
        <w:rPr>
          <w:sz w:val="22"/>
          <w:szCs w:val="22"/>
        </w:rPr>
        <w:t xml:space="preserve">experiences and good practice and be part of a group that is positioned to have influence </w:t>
      </w:r>
      <w:r w:rsidR="00687880">
        <w:rPr>
          <w:sz w:val="22"/>
          <w:szCs w:val="22"/>
        </w:rPr>
        <w:tab/>
      </w:r>
      <w:r w:rsidR="00D059D9" w:rsidRPr="00D059D9">
        <w:rPr>
          <w:sz w:val="22"/>
          <w:szCs w:val="22"/>
        </w:rPr>
        <w:t xml:space="preserve">over research strategy.  </w:t>
      </w:r>
    </w:p>
    <w:p w14:paraId="70C05EEE" w14:textId="77777777" w:rsidR="00D059D9" w:rsidRDefault="00D059D9" w:rsidP="007A05FA">
      <w:pPr>
        <w:pStyle w:val="ListParagraph"/>
        <w:ind w:left="0"/>
        <w:rPr>
          <w:sz w:val="22"/>
          <w:szCs w:val="22"/>
        </w:rPr>
      </w:pPr>
    </w:p>
    <w:p w14:paraId="1F06B17F" w14:textId="77777777" w:rsidR="007A05FA" w:rsidRDefault="00D059D9" w:rsidP="007A05FA">
      <w:pPr>
        <w:pStyle w:val="ListParagraph"/>
        <w:ind w:left="0"/>
        <w:rPr>
          <w:sz w:val="22"/>
          <w:szCs w:val="22"/>
        </w:rPr>
      </w:pPr>
      <w:r>
        <w:rPr>
          <w:sz w:val="22"/>
          <w:szCs w:val="22"/>
        </w:rPr>
        <w:tab/>
      </w:r>
      <w:r w:rsidR="00A3701C">
        <w:rPr>
          <w:sz w:val="22"/>
          <w:szCs w:val="22"/>
        </w:rPr>
        <w:t xml:space="preserve">The </w:t>
      </w:r>
      <w:r w:rsidR="00AC5722">
        <w:rPr>
          <w:sz w:val="22"/>
          <w:szCs w:val="22"/>
        </w:rPr>
        <w:t>University</w:t>
      </w:r>
      <w:r w:rsidR="00E64A1E">
        <w:rPr>
          <w:sz w:val="22"/>
          <w:szCs w:val="22"/>
        </w:rPr>
        <w:t xml:space="preserve"> </w:t>
      </w:r>
      <w:r w:rsidR="00A3701C">
        <w:rPr>
          <w:sz w:val="22"/>
          <w:szCs w:val="22"/>
        </w:rPr>
        <w:t xml:space="preserve">is a member of </w:t>
      </w:r>
      <w:r w:rsidR="00AC5722">
        <w:rPr>
          <w:sz w:val="22"/>
          <w:szCs w:val="22"/>
        </w:rPr>
        <w:t>the UK Research Integrity Office (</w:t>
      </w:r>
      <w:r w:rsidR="00A3701C">
        <w:rPr>
          <w:sz w:val="22"/>
          <w:szCs w:val="22"/>
        </w:rPr>
        <w:t>UKRIO</w:t>
      </w:r>
      <w:r w:rsidR="00AC5722">
        <w:rPr>
          <w:sz w:val="22"/>
          <w:szCs w:val="22"/>
        </w:rPr>
        <w:t>)</w:t>
      </w:r>
      <w:r w:rsidR="00A3701C">
        <w:rPr>
          <w:sz w:val="22"/>
          <w:szCs w:val="22"/>
        </w:rPr>
        <w:t xml:space="preserve"> and </w:t>
      </w:r>
      <w:r w:rsidR="00ED5265" w:rsidRPr="00CA7A12">
        <w:rPr>
          <w:sz w:val="22"/>
          <w:szCs w:val="22"/>
        </w:rPr>
        <w:t xml:space="preserve">an active </w:t>
      </w:r>
      <w:r w:rsidR="00AC5722">
        <w:rPr>
          <w:sz w:val="22"/>
          <w:szCs w:val="22"/>
        </w:rPr>
        <w:tab/>
      </w:r>
      <w:r w:rsidR="00ED5265" w:rsidRPr="00CA7A12">
        <w:rPr>
          <w:sz w:val="22"/>
          <w:szCs w:val="22"/>
        </w:rPr>
        <w:t>contributor to meetings of Russell Group</w:t>
      </w:r>
      <w:r w:rsidR="00A3701C">
        <w:rPr>
          <w:sz w:val="22"/>
          <w:szCs w:val="22"/>
        </w:rPr>
        <w:t xml:space="preserve"> </w:t>
      </w:r>
      <w:r w:rsidR="000068AF" w:rsidRPr="00CA7A12">
        <w:rPr>
          <w:sz w:val="22"/>
          <w:szCs w:val="22"/>
        </w:rPr>
        <w:t>Universities</w:t>
      </w:r>
      <w:r w:rsidR="000068AF">
        <w:rPr>
          <w:sz w:val="22"/>
          <w:szCs w:val="22"/>
        </w:rPr>
        <w:t xml:space="preserve"> and</w:t>
      </w:r>
      <w:r w:rsidR="0040611B">
        <w:rPr>
          <w:sz w:val="22"/>
          <w:szCs w:val="22"/>
        </w:rPr>
        <w:t xml:space="preserve"> takes seriously its responsibility to </w:t>
      </w:r>
      <w:r w:rsidR="000068AF">
        <w:rPr>
          <w:sz w:val="22"/>
          <w:szCs w:val="22"/>
        </w:rPr>
        <w:tab/>
      </w:r>
      <w:r w:rsidR="0040611B">
        <w:rPr>
          <w:sz w:val="22"/>
          <w:szCs w:val="22"/>
        </w:rPr>
        <w:t xml:space="preserve">develop strong sector-wide approaches to research integrity. </w:t>
      </w:r>
      <w:r w:rsidR="00EC278E">
        <w:rPr>
          <w:sz w:val="22"/>
          <w:szCs w:val="22"/>
        </w:rPr>
        <w:t>The Head</w:t>
      </w:r>
      <w:r w:rsidR="00597BAD">
        <w:rPr>
          <w:sz w:val="22"/>
          <w:szCs w:val="22"/>
        </w:rPr>
        <w:t xml:space="preserve"> of Research </w:t>
      </w:r>
      <w:r w:rsidR="000068AF">
        <w:rPr>
          <w:sz w:val="22"/>
          <w:szCs w:val="22"/>
        </w:rPr>
        <w:tab/>
      </w:r>
      <w:r w:rsidR="00597BAD">
        <w:rPr>
          <w:sz w:val="22"/>
          <w:szCs w:val="22"/>
        </w:rPr>
        <w:t xml:space="preserve">Governance &amp; </w:t>
      </w:r>
      <w:r w:rsidR="00D7452F">
        <w:rPr>
          <w:sz w:val="22"/>
          <w:szCs w:val="22"/>
        </w:rPr>
        <w:t>Integrity</w:t>
      </w:r>
      <w:r w:rsidR="00597BAD">
        <w:rPr>
          <w:sz w:val="22"/>
          <w:szCs w:val="22"/>
        </w:rPr>
        <w:t xml:space="preserve"> supports the Health Research Authority </w:t>
      </w:r>
      <w:r w:rsidR="00D7452F">
        <w:rPr>
          <w:sz w:val="22"/>
          <w:szCs w:val="22"/>
        </w:rPr>
        <w:t>non-commercial</w:t>
      </w:r>
      <w:r w:rsidR="00597BAD">
        <w:rPr>
          <w:sz w:val="22"/>
          <w:szCs w:val="22"/>
        </w:rPr>
        <w:t xml:space="preserve"> Sponsor </w:t>
      </w:r>
      <w:r w:rsidR="000068AF">
        <w:rPr>
          <w:sz w:val="22"/>
          <w:szCs w:val="22"/>
        </w:rPr>
        <w:tab/>
      </w:r>
      <w:r w:rsidR="00D6680F">
        <w:rPr>
          <w:sz w:val="22"/>
          <w:szCs w:val="22"/>
        </w:rPr>
        <w:t xml:space="preserve">Reference </w:t>
      </w:r>
      <w:r w:rsidR="00597BAD">
        <w:rPr>
          <w:sz w:val="22"/>
          <w:szCs w:val="22"/>
        </w:rPr>
        <w:t>Group, the NHS R</w:t>
      </w:r>
      <w:r w:rsidR="00EA60E4">
        <w:rPr>
          <w:sz w:val="22"/>
          <w:szCs w:val="22"/>
        </w:rPr>
        <w:t>&amp;</w:t>
      </w:r>
      <w:r w:rsidR="00597BAD">
        <w:rPr>
          <w:sz w:val="22"/>
          <w:szCs w:val="22"/>
        </w:rPr>
        <w:t xml:space="preserve">D Forum and </w:t>
      </w:r>
      <w:r w:rsidR="00D61DB3">
        <w:rPr>
          <w:sz w:val="22"/>
          <w:szCs w:val="22"/>
        </w:rPr>
        <w:t xml:space="preserve">is a member of the NIHR CRN </w:t>
      </w:r>
      <w:r w:rsidR="00F75A9C">
        <w:rPr>
          <w:sz w:val="22"/>
          <w:szCs w:val="22"/>
        </w:rPr>
        <w:t xml:space="preserve">Programme </w:t>
      </w:r>
      <w:r w:rsidR="000068AF">
        <w:rPr>
          <w:sz w:val="22"/>
          <w:szCs w:val="22"/>
        </w:rPr>
        <w:tab/>
      </w:r>
      <w:r w:rsidR="00D61DB3">
        <w:rPr>
          <w:sz w:val="22"/>
          <w:szCs w:val="22"/>
        </w:rPr>
        <w:t>Board</w:t>
      </w:r>
      <w:r w:rsidR="00A76FAF">
        <w:rPr>
          <w:sz w:val="22"/>
          <w:szCs w:val="22"/>
        </w:rPr>
        <w:t xml:space="preserve"> and Birmingham Health Partners Working Groups.</w:t>
      </w:r>
    </w:p>
    <w:p w14:paraId="5ED4114D" w14:textId="77777777" w:rsidR="007A05FA" w:rsidRDefault="007A05FA" w:rsidP="007A05FA">
      <w:pPr>
        <w:pStyle w:val="ListParagraph"/>
        <w:ind w:left="0"/>
        <w:rPr>
          <w:sz w:val="22"/>
          <w:szCs w:val="22"/>
        </w:rPr>
      </w:pPr>
    </w:p>
    <w:p w14:paraId="08A8B1B5" w14:textId="77777777" w:rsidR="00ED5265" w:rsidRPr="00087034" w:rsidRDefault="007A05FA" w:rsidP="007A05FA">
      <w:pPr>
        <w:pStyle w:val="ListParagraph"/>
        <w:ind w:left="0"/>
        <w:rPr>
          <w:b/>
          <w:bCs/>
          <w:sz w:val="22"/>
          <w:szCs w:val="22"/>
        </w:rPr>
      </w:pPr>
      <w:r>
        <w:rPr>
          <w:sz w:val="22"/>
          <w:szCs w:val="22"/>
        </w:rPr>
        <w:t>4.</w:t>
      </w:r>
      <w:r>
        <w:rPr>
          <w:sz w:val="22"/>
          <w:szCs w:val="22"/>
        </w:rPr>
        <w:tab/>
      </w:r>
      <w:r w:rsidR="0040611B" w:rsidRPr="00087034">
        <w:rPr>
          <w:b/>
          <w:bCs/>
          <w:sz w:val="22"/>
          <w:szCs w:val="22"/>
        </w:rPr>
        <w:t xml:space="preserve">Allegations of Potential Research </w:t>
      </w:r>
      <w:r w:rsidR="00961DA5" w:rsidRPr="00087034">
        <w:rPr>
          <w:b/>
          <w:bCs/>
          <w:sz w:val="22"/>
          <w:szCs w:val="22"/>
        </w:rPr>
        <w:t>Misconduct</w:t>
      </w:r>
    </w:p>
    <w:p w14:paraId="4AB63476" w14:textId="77777777" w:rsidR="00DE0463" w:rsidRPr="00F41B08" w:rsidRDefault="00DE0463" w:rsidP="00DE0463">
      <w:pPr>
        <w:pStyle w:val="ListParagraph"/>
        <w:ind w:left="360"/>
        <w:rPr>
          <w:sz w:val="22"/>
          <w:szCs w:val="22"/>
        </w:rPr>
      </w:pPr>
    </w:p>
    <w:p w14:paraId="4B076630" w14:textId="77777777" w:rsidR="00AB4A73" w:rsidRDefault="007A05FA" w:rsidP="00D61DB3">
      <w:pPr>
        <w:ind w:left="360"/>
        <w:rPr>
          <w:sz w:val="22"/>
          <w:szCs w:val="22"/>
        </w:rPr>
      </w:pPr>
      <w:r>
        <w:rPr>
          <w:sz w:val="22"/>
          <w:szCs w:val="22"/>
        </w:rPr>
        <w:tab/>
      </w:r>
      <w:r w:rsidR="00D61DB3" w:rsidRPr="00D61DB3">
        <w:rPr>
          <w:sz w:val="22"/>
          <w:szCs w:val="22"/>
        </w:rPr>
        <w:t>In the period October 202</w:t>
      </w:r>
      <w:r w:rsidR="005C11DD">
        <w:rPr>
          <w:sz w:val="22"/>
          <w:szCs w:val="22"/>
        </w:rPr>
        <w:t>1</w:t>
      </w:r>
      <w:r w:rsidR="00D61DB3" w:rsidRPr="00D61DB3">
        <w:rPr>
          <w:sz w:val="22"/>
          <w:szCs w:val="22"/>
        </w:rPr>
        <w:t xml:space="preserve"> to September 202</w:t>
      </w:r>
      <w:r w:rsidR="005C11DD">
        <w:rPr>
          <w:sz w:val="22"/>
          <w:szCs w:val="22"/>
        </w:rPr>
        <w:t>2</w:t>
      </w:r>
      <w:r w:rsidR="00D61DB3" w:rsidRPr="00D61DB3">
        <w:rPr>
          <w:sz w:val="22"/>
          <w:szCs w:val="22"/>
        </w:rPr>
        <w:t xml:space="preserve">, </w:t>
      </w:r>
      <w:r w:rsidR="0040611B">
        <w:rPr>
          <w:sz w:val="22"/>
          <w:szCs w:val="22"/>
        </w:rPr>
        <w:t xml:space="preserve">four </w:t>
      </w:r>
      <w:r w:rsidR="006C20E6">
        <w:rPr>
          <w:sz w:val="22"/>
          <w:szCs w:val="22"/>
        </w:rPr>
        <w:t>allegations</w:t>
      </w:r>
      <w:r w:rsidR="00D61DB3" w:rsidRPr="00D61DB3">
        <w:rPr>
          <w:sz w:val="22"/>
          <w:szCs w:val="22"/>
        </w:rPr>
        <w:t xml:space="preserve"> of potential research </w:t>
      </w:r>
      <w:r>
        <w:rPr>
          <w:sz w:val="22"/>
          <w:szCs w:val="22"/>
        </w:rPr>
        <w:tab/>
      </w:r>
      <w:r w:rsidR="00D61DB3" w:rsidRPr="00D61DB3">
        <w:rPr>
          <w:sz w:val="22"/>
          <w:szCs w:val="22"/>
        </w:rPr>
        <w:t>misconduct were received</w:t>
      </w:r>
      <w:r w:rsidR="0008238F">
        <w:rPr>
          <w:sz w:val="22"/>
          <w:szCs w:val="22"/>
        </w:rPr>
        <w:t xml:space="preserve"> and addressed </w:t>
      </w:r>
      <w:r w:rsidR="00D61DB3" w:rsidRPr="00D61DB3">
        <w:rPr>
          <w:sz w:val="22"/>
          <w:szCs w:val="22"/>
        </w:rPr>
        <w:t xml:space="preserve">in accordance with the Code of Practice for </w:t>
      </w:r>
      <w:r>
        <w:rPr>
          <w:sz w:val="22"/>
          <w:szCs w:val="22"/>
        </w:rPr>
        <w:tab/>
      </w:r>
      <w:r w:rsidR="00D61DB3" w:rsidRPr="00D61DB3">
        <w:rPr>
          <w:sz w:val="22"/>
          <w:szCs w:val="22"/>
        </w:rPr>
        <w:t>Research</w:t>
      </w:r>
      <w:r w:rsidR="0040611B">
        <w:rPr>
          <w:sz w:val="22"/>
          <w:szCs w:val="22"/>
        </w:rPr>
        <w:t xml:space="preserve">, and in each case, consideration </w:t>
      </w:r>
      <w:r w:rsidR="00EA60E4">
        <w:rPr>
          <w:sz w:val="22"/>
          <w:szCs w:val="22"/>
        </w:rPr>
        <w:t xml:space="preserve">was </w:t>
      </w:r>
      <w:r w:rsidR="0040611B">
        <w:rPr>
          <w:sz w:val="22"/>
          <w:szCs w:val="22"/>
        </w:rPr>
        <w:t xml:space="preserve">given to any required changes to institutional </w:t>
      </w:r>
      <w:r>
        <w:rPr>
          <w:sz w:val="22"/>
          <w:szCs w:val="22"/>
        </w:rPr>
        <w:tab/>
      </w:r>
      <w:r w:rsidR="0040611B">
        <w:rPr>
          <w:sz w:val="22"/>
          <w:szCs w:val="22"/>
        </w:rPr>
        <w:t xml:space="preserve">policies and procedures. </w:t>
      </w:r>
    </w:p>
    <w:p w14:paraId="75E818AD" w14:textId="77777777" w:rsidR="00AB4A73" w:rsidRDefault="00AB4A73" w:rsidP="00D61DB3">
      <w:pPr>
        <w:ind w:left="360"/>
        <w:rPr>
          <w:sz w:val="22"/>
          <w:szCs w:val="22"/>
        </w:rPr>
      </w:pPr>
    </w:p>
    <w:p w14:paraId="64078B7F" w14:textId="77777777" w:rsidR="00ED5265" w:rsidRPr="00A80908" w:rsidRDefault="007A05FA" w:rsidP="007A05FA">
      <w:pPr>
        <w:rPr>
          <w:sz w:val="22"/>
          <w:szCs w:val="22"/>
        </w:rPr>
      </w:pPr>
      <w:r>
        <w:rPr>
          <w:sz w:val="22"/>
          <w:szCs w:val="22"/>
        </w:rPr>
        <w:t xml:space="preserve">5. </w:t>
      </w:r>
      <w:r>
        <w:rPr>
          <w:sz w:val="22"/>
          <w:szCs w:val="22"/>
        </w:rPr>
        <w:tab/>
      </w:r>
      <w:r w:rsidR="00ED5265" w:rsidRPr="00087034">
        <w:rPr>
          <w:b/>
          <w:bCs/>
          <w:sz w:val="22"/>
          <w:szCs w:val="22"/>
        </w:rPr>
        <w:t>R</w:t>
      </w:r>
      <w:r w:rsidR="00A3701C" w:rsidRPr="00087034">
        <w:rPr>
          <w:b/>
          <w:bCs/>
          <w:sz w:val="22"/>
          <w:szCs w:val="22"/>
        </w:rPr>
        <w:t>esearch Integrity Statement</w:t>
      </w:r>
      <w:r w:rsidR="00A3701C" w:rsidRPr="00A80908">
        <w:rPr>
          <w:sz w:val="22"/>
          <w:szCs w:val="22"/>
        </w:rPr>
        <w:t xml:space="preserve"> </w:t>
      </w:r>
    </w:p>
    <w:p w14:paraId="107F81A6" w14:textId="77777777" w:rsidR="00EA60E4" w:rsidRDefault="00A80908" w:rsidP="00ED5265">
      <w:pPr>
        <w:rPr>
          <w:sz w:val="22"/>
          <w:szCs w:val="22"/>
        </w:rPr>
      </w:pPr>
      <w:r>
        <w:rPr>
          <w:sz w:val="22"/>
          <w:szCs w:val="22"/>
        </w:rPr>
        <w:t xml:space="preserve">     </w:t>
      </w:r>
      <w:r w:rsidR="007A05FA">
        <w:rPr>
          <w:sz w:val="22"/>
          <w:szCs w:val="22"/>
        </w:rPr>
        <w:tab/>
      </w:r>
    </w:p>
    <w:p w14:paraId="069D701C" w14:textId="77777777" w:rsidR="00ED5265" w:rsidRPr="00CA7A12" w:rsidRDefault="00ED5265" w:rsidP="003229C5">
      <w:pPr>
        <w:ind w:firstLine="720"/>
        <w:rPr>
          <w:sz w:val="22"/>
          <w:szCs w:val="22"/>
        </w:rPr>
      </w:pPr>
      <w:r w:rsidRPr="00CA7A12">
        <w:rPr>
          <w:sz w:val="22"/>
          <w:szCs w:val="22"/>
        </w:rPr>
        <w:t>The next annual statement wi</w:t>
      </w:r>
      <w:r w:rsidR="00D61DB3">
        <w:rPr>
          <w:sz w:val="22"/>
          <w:szCs w:val="22"/>
        </w:rPr>
        <w:t>ll be published in November 202</w:t>
      </w:r>
      <w:r w:rsidR="00D81EBB">
        <w:rPr>
          <w:sz w:val="22"/>
          <w:szCs w:val="22"/>
        </w:rPr>
        <w:t>3</w:t>
      </w:r>
      <w:r w:rsidRPr="00CA7A12">
        <w:rPr>
          <w:sz w:val="22"/>
          <w:szCs w:val="22"/>
        </w:rPr>
        <w:t>.</w:t>
      </w:r>
    </w:p>
    <w:p w14:paraId="60E29B7E" w14:textId="77777777" w:rsidR="00ED5265" w:rsidRPr="00CA7A12" w:rsidRDefault="00ED5265" w:rsidP="00ED5265">
      <w:pPr>
        <w:rPr>
          <w:sz w:val="22"/>
          <w:szCs w:val="22"/>
        </w:rPr>
      </w:pPr>
    </w:p>
    <w:p w14:paraId="707408E3" w14:textId="77777777" w:rsidR="00ED5265" w:rsidRPr="00CA7A12" w:rsidRDefault="00ED5265" w:rsidP="00ED5265">
      <w:pPr>
        <w:rPr>
          <w:b/>
          <w:sz w:val="22"/>
          <w:szCs w:val="22"/>
        </w:rPr>
      </w:pPr>
      <w:r w:rsidRPr="00CA7A12">
        <w:rPr>
          <w:b/>
          <w:sz w:val="22"/>
          <w:szCs w:val="22"/>
        </w:rPr>
        <w:t>Further Information</w:t>
      </w:r>
    </w:p>
    <w:p w14:paraId="2E85DDAF" w14:textId="77777777" w:rsidR="00ED5265" w:rsidRPr="00CA7A12" w:rsidRDefault="00ED5265" w:rsidP="00ED5265">
      <w:pPr>
        <w:rPr>
          <w:sz w:val="22"/>
          <w:szCs w:val="22"/>
        </w:rPr>
      </w:pPr>
    </w:p>
    <w:p w14:paraId="609647BB" w14:textId="77777777" w:rsidR="00ED5265" w:rsidRPr="00CA7A12" w:rsidRDefault="00ED5265" w:rsidP="00ED5265">
      <w:pPr>
        <w:rPr>
          <w:sz w:val="22"/>
          <w:szCs w:val="22"/>
        </w:rPr>
      </w:pPr>
      <w:r w:rsidRPr="00CA7A12">
        <w:rPr>
          <w:sz w:val="22"/>
          <w:szCs w:val="22"/>
        </w:rPr>
        <w:t xml:space="preserve">Further information on research integrity at the University is available from </w:t>
      </w:r>
      <w:r w:rsidR="00F41B08">
        <w:rPr>
          <w:sz w:val="22"/>
          <w:szCs w:val="22"/>
        </w:rPr>
        <w:t>Dr Birgit Whitman</w:t>
      </w:r>
      <w:r w:rsidR="00EA3E48">
        <w:rPr>
          <w:sz w:val="22"/>
          <w:szCs w:val="22"/>
        </w:rPr>
        <w:t>.</w:t>
      </w:r>
    </w:p>
    <w:p w14:paraId="004AC3E1" w14:textId="77777777" w:rsidR="00583DAE" w:rsidRPr="00CA7A12" w:rsidRDefault="00583DAE" w:rsidP="00ED1B15">
      <w:pPr>
        <w:rPr>
          <w:sz w:val="22"/>
          <w:szCs w:val="22"/>
          <w:lang w:eastAsia="en-US"/>
        </w:rPr>
      </w:pPr>
    </w:p>
    <w:sectPr w:rsidR="00583DAE" w:rsidRPr="00CA7A12" w:rsidSect="00D03754">
      <w:footerReference w:type="default" r:id="rId11"/>
      <w:pgSz w:w="11906" w:h="16838"/>
      <w:pgMar w:top="709"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6EF9" w14:textId="77777777" w:rsidR="009D1664" w:rsidRDefault="009D1664" w:rsidP="00B7270D">
      <w:r>
        <w:separator/>
      </w:r>
    </w:p>
  </w:endnote>
  <w:endnote w:type="continuationSeparator" w:id="0">
    <w:p w14:paraId="35E819BC" w14:textId="77777777" w:rsidR="009D1664" w:rsidRDefault="009D1664" w:rsidP="00B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D091" w14:textId="77777777" w:rsidR="00235FE1" w:rsidRDefault="00235FE1">
    <w:pPr>
      <w:pStyle w:val="Footer"/>
      <w:jc w:val="center"/>
    </w:pPr>
    <w:r>
      <w:fldChar w:fldCharType="begin"/>
    </w:r>
    <w:r>
      <w:instrText xml:space="preserve"> PAGE   \* MERGEFORMAT </w:instrText>
    </w:r>
    <w:r>
      <w:fldChar w:fldCharType="separate"/>
    </w:r>
    <w:r w:rsidR="00E129E8">
      <w:rPr>
        <w:noProof/>
      </w:rPr>
      <w:t>1</w:t>
    </w:r>
    <w:r>
      <w:rPr>
        <w:noProof/>
      </w:rPr>
      <w:fldChar w:fldCharType="end"/>
    </w:r>
  </w:p>
  <w:p w14:paraId="14952844" w14:textId="77777777" w:rsidR="00235FE1" w:rsidRDefault="0023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3447" w14:textId="77777777" w:rsidR="009D1664" w:rsidRDefault="009D1664" w:rsidP="00B7270D">
      <w:r>
        <w:separator/>
      </w:r>
    </w:p>
  </w:footnote>
  <w:footnote w:type="continuationSeparator" w:id="0">
    <w:p w14:paraId="071C43C9" w14:textId="77777777" w:rsidR="009D1664" w:rsidRDefault="009D1664" w:rsidP="00B7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0F"/>
    <w:multiLevelType w:val="hybridMultilevel"/>
    <w:tmpl w:val="6470BA60"/>
    <w:lvl w:ilvl="0" w:tplc="08090001">
      <w:start w:val="1"/>
      <w:numFmt w:val="bullet"/>
      <w:lvlText w:val=""/>
      <w:lvlJc w:val="left"/>
      <w:pPr>
        <w:ind w:left="720" w:hanging="360"/>
      </w:pPr>
      <w:rPr>
        <w:rFonts w:ascii="Symbol" w:hAnsi="Symbol" w:hint="default"/>
      </w:rPr>
    </w:lvl>
    <w:lvl w:ilvl="1" w:tplc="8BEEB2CA">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83431"/>
    <w:multiLevelType w:val="hybridMultilevel"/>
    <w:tmpl w:val="1234BA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33F7C58"/>
    <w:multiLevelType w:val="hybridMultilevel"/>
    <w:tmpl w:val="E640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4EE0"/>
    <w:multiLevelType w:val="hybridMultilevel"/>
    <w:tmpl w:val="C6543452"/>
    <w:lvl w:ilvl="0" w:tplc="44BC2FE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D22E9"/>
    <w:multiLevelType w:val="hybridMultilevel"/>
    <w:tmpl w:val="E3C0F3B6"/>
    <w:lvl w:ilvl="0" w:tplc="08090003">
      <w:start w:val="1"/>
      <w:numFmt w:val="bullet"/>
      <w:lvlText w:val="o"/>
      <w:lvlJc w:val="left"/>
      <w:pPr>
        <w:ind w:left="1789" w:hanging="360"/>
      </w:pPr>
      <w:rPr>
        <w:rFonts w:ascii="Courier New" w:hAnsi="Courier New" w:cs="Courier New"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2280468E"/>
    <w:multiLevelType w:val="hybridMultilevel"/>
    <w:tmpl w:val="0AC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05FA1"/>
    <w:multiLevelType w:val="hybridMultilevel"/>
    <w:tmpl w:val="410CD5D4"/>
    <w:lvl w:ilvl="0" w:tplc="B8AA0B98">
      <w:start w:val="1"/>
      <w:numFmt w:val="bullet"/>
      <w:lvlText w:val="-"/>
      <w:lvlJc w:val="left"/>
      <w:pPr>
        <w:ind w:left="1440" w:hanging="360"/>
      </w:pPr>
      <w:rPr>
        <w:rFonts w:ascii="Arial" w:eastAsia="Times New Roman" w:hAnsi="Arial" w:cs="Arial" w:hint="default"/>
        <w:i/>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61228E"/>
    <w:multiLevelType w:val="hybridMultilevel"/>
    <w:tmpl w:val="FE4E84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2A1531E4"/>
    <w:multiLevelType w:val="hybridMultilevel"/>
    <w:tmpl w:val="7EF2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E069C"/>
    <w:multiLevelType w:val="hybridMultilevel"/>
    <w:tmpl w:val="9C4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F2E"/>
    <w:multiLevelType w:val="hybridMultilevel"/>
    <w:tmpl w:val="DB169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332B6C"/>
    <w:multiLevelType w:val="hybridMultilevel"/>
    <w:tmpl w:val="21A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019F"/>
    <w:multiLevelType w:val="multilevel"/>
    <w:tmpl w:val="CA98CF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925A45"/>
    <w:multiLevelType w:val="hybridMultilevel"/>
    <w:tmpl w:val="9AA414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F1660C2"/>
    <w:multiLevelType w:val="multilevel"/>
    <w:tmpl w:val="CD8AE43E"/>
    <w:lvl w:ilvl="0">
      <w:start w:val="1"/>
      <w:numFmt w:val="decimal"/>
      <w:lvlText w:val="%1."/>
      <w:lvlJc w:val="left"/>
      <w:pPr>
        <w:ind w:left="360"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45668EB"/>
    <w:multiLevelType w:val="hybridMultilevel"/>
    <w:tmpl w:val="82EC41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A706A7C"/>
    <w:multiLevelType w:val="hybridMultilevel"/>
    <w:tmpl w:val="53E61526"/>
    <w:lvl w:ilvl="0" w:tplc="B790A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C0C4E"/>
    <w:multiLevelType w:val="hybridMultilevel"/>
    <w:tmpl w:val="6D26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5F0243"/>
    <w:multiLevelType w:val="hybridMultilevel"/>
    <w:tmpl w:val="26FE21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2915CFD"/>
    <w:multiLevelType w:val="hybridMultilevel"/>
    <w:tmpl w:val="4D6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A16B5"/>
    <w:multiLevelType w:val="hybridMultilevel"/>
    <w:tmpl w:val="83DAA03C"/>
    <w:lvl w:ilvl="0" w:tplc="531266C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A1648C"/>
    <w:multiLevelType w:val="hybridMultilevel"/>
    <w:tmpl w:val="20F4A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629E"/>
    <w:multiLevelType w:val="multilevel"/>
    <w:tmpl w:val="A0508C3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94D1579"/>
    <w:multiLevelType w:val="hybridMultilevel"/>
    <w:tmpl w:val="E21843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5E577409"/>
    <w:multiLevelType w:val="hybridMultilevel"/>
    <w:tmpl w:val="B1E6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E0CCF"/>
    <w:multiLevelType w:val="hybridMultilevel"/>
    <w:tmpl w:val="3276469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3FB42A1"/>
    <w:multiLevelType w:val="hybridMultilevel"/>
    <w:tmpl w:val="F3C2063E"/>
    <w:lvl w:ilvl="0" w:tplc="F4CCF3E4">
      <w:start w:val="1"/>
      <w:numFmt w:val="decimal"/>
      <w:pStyle w:val="Numberedparagraph"/>
      <w:lvlText w:val="%1."/>
      <w:lvlJc w:val="left"/>
      <w:pPr>
        <w:ind w:left="360" w:hanging="360"/>
      </w:pPr>
      <w:rPr>
        <w:rFonts w:ascii="Arial" w:eastAsia="Times New Roman" w:hAnsi="Arial" w:cs="Times New Roman"/>
      </w:rPr>
    </w:lvl>
    <w:lvl w:ilvl="1" w:tplc="08090001">
      <w:start w:val="1"/>
      <w:numFmt w:val="bullet"/>
      <w:lvlText w:val=""/>
      <w:lvlJc w:val="left"/>
      <w:pPr>
        <w:ind w:left="938" w:hanging="360"/>
      </w:pPr>
      <w:rPr>
        <w:rFonts w:ascii="Symbol" w:hAnsi="Symbol" w:hint="default"/>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27" w15:restartNumberingAfterBreak="0">
    <w:nsid w:val="75F51413"/>
    <w:multiLevelType w:val="hybridMultilevel"/>
    <w:tmpl w:val="C49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B3F15"/>
    <w:multiLevelType w:val="hybridMultilevel"/>
    <w:tmpl w:val="8028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74785"/>
    <w:multiLevelType w:val="hybridMultilevel"/>
    <w:tmpl w:val="90E41086"/>
    <w:lvl w:ilvl="0" w:tplc="44BC2FE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9"/>
  </w:num>
  <w:num w:numId="5">
    <w:abstractNumId w:val="26"/>
  </w:num>
  <w:num w:numId="6">
    <w:abstractNumId w:val="21"/>
  </w:num>
  <w:num w:numId="7">
    <w:abstractNumId w:val="19"/>
  </w:num>
  <w:num w:numId="8">
    <w:abstractNumId w:val="0"/>
  </w:num>
  <w:num w:numId="9">
    <w:abstractNumId w:val="9"/>
  </w:num>
  <w:num w:numId="10">
    <w:abstractNumId w:val="28"/>
  </w:num>
  <w:num w:numId="11">
    <w:abstractNumId w:val="24"/>
  </w:num>
  <w:num w:numId="12">
    <w:abstractNumId w:val="8"/>
  </w:num>
  <w:num w:numId="13">
    <w:abstractNumId w:val="27"/>
  </w:num>
  <w:num w:numId="14">
    <w:abstractNumId w:val="17"/>
  </w:num>
  <w:num w:numId="15">
    <w:abstractNumId w:val="11"/>
  </w:num>
  <w:num w:numId="16">
    <w:abstractNumId w:val="14"/>
  </w:num>
  <w:num w:numId="17">
    <w:abstractNumId w:val="20"/>
  </w:num>
  <w:num w:numId="18">
    <w:abstractNumId w:val="6"/>
  </w:num>
  <w:num w:numId="19">
    <w:abstractNumId w:val="25"/>
  </w:num>
  <w:num w:numId="20">
    <w:abstractNumId w:val="15"/>
  </w:num>
  <w:num w:numId="21">
    <w:abstractNumId w:val="18"/>
  </w:num>
  <w:num w:numId="22">
    <w:abstractNumId w:val="23"/>
  </w:num>
  <w:num w:numId="23">
    <w:abstractNumId w:val="1"/>
  </w:num>
  <w:num w:numId="24">
    <w:abstractNumId w:val="13"/>
  </w:num>
  <w:num w:numId="25">
    <w:abstractNumId w:val="4"/>
  </w:num>
  <w:num w:numId="26">
    <w:abstractNumId w:val="7"/>
  </w:num>
  <w:num w:numId="27">
    <w:abstractNumId w:val="10"/>
  </w:num>
  <w:num w:numId="28">
    <w:abstractNumId w:val="16"/>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C9"/>
    <w:rsid w:val="00001C4A"/>
    <w:rsid w:val="00003375"/>
    <w:rsid w:val="000068AF"/>
    <w:rsid w:val="00011655"/>
    <w:rsid w:val="00011BC3"/>
    <w:rsid w:val="00023A4A"/>
    <w:rsid w:val="00023AF9"/>
    <w:rsid w:val="00025B98"/>
    <w:rsid w:val="00041245"/>
    <w:rsid w:val="00050439"/>
    <w:rsid w:val="00050A05"/>
    <w:rsid w:val="0006417F"/>
    <w:rsid w:val="00073D18"/>
    <w:rsid w:val="00074612"/>
    <w:rsid w:val="00076095"/>
    <w:rsid w:val="00077489"/>
    <w:rsid w:val="0008238F"/>
    <w:rsid w:val="0008532A"/>
    <w:rsid w:val="000867EF"/>
    <w:rsid w:val="00087034"/>
    <w:rsid w:val="00091655"/>
    <w:rsid w:val="000938D3"/>
    <w:rsid w:val="000B0592"/>
    <w:rsid w:val="000F0993"/>
    <w:rsid w:val="000F2DBA"/>
    <w:rsid w:val="000F4B30"/>
    <w:rsid w:val="000F63DB"/>
    <w:rsid w:val="00107AFA"/>
    <w:rsid w:val="00116F62"/>
    <w:rsid w:val="0011714C"/>
    <w:rsid w:val="00117CAA"/>
    <w:rsid w:val="00123B1E"/>
    <w:rsid w:val="001269FC"/>
    <w:rsid w:val="001324DE"/>
    <w:rsid w:val="00144F29"/>
    <w:rsid w:val="00145C98"/>
    <w:rsid w:val="00156816"/>
    <w:rsid w:val="00160033"/>
    <w:rsid w:val="001666F6"/>
    <w:rsid w:val="001673C3"/>
    <w:rsid w:val="001712EF"/>
    <w:rsid w:val="00180D78"/>
    <w:rsid w:val="00191444"/>
    <w:rsid w:val="00193B63"/>
    <w:rsid w:val="0019670C"/>
    <w:rsid w:val="00197801"/>
    <w:rsid w:val="001A1E70"/>
    <w:rsid w:val="001A2F71"/>
    <w:rsid w:val="001A57DA"/>
    <w:rsid w:val="001A58DA"/>
    <w:rsid w:val="001A6E64"/>
    <w:rsid w:val="001A7CD6"/>
    <w:rsid w:val="001B314B"/>
    <w:rsid w:val="001B4C2D"/>
    <w:rsid w:val="001C1932"/>
    <w:rsid w:val="001C59DE"/>
    <w:rsid w:val="001D28DC"/>
    <w:rsid w:val="001D4FEA"/>
    <w:rsid w:val="001E57CE"/>
    <w:rsid w:val="001E5D63"/>
    <w:rsid w:val="001F09E7"/>
    <w:rsid w:val="001F76D6"/>
    <w:rsid w:val="0020395A"/>
    <w:rsid w:val="002162D6"/>
    <w:rsid w:val="00223365"/>
    <w:rsid w:val="00224C05"/>
    <w:rsid w:val="00233C1E"/>
    <w:rsid w:val="00235FE1"/>
    <w:rsid w:val="0023770B"/>
    <w:rsid w:val="00242417"/>
    <w:rsid w:val="0024363B"/>
    <w:rsid w:val="00251286"/>
    <w:rsid w:val="00253B9E"/>
    <w:rsid w:val="00261ED3"/>
    <w:rsid w:val="00263189"/>
    <w:rsid w:val="00266672"/>
    <w:rsid w:val="002676AF"/>
    <w:rsid w:val="00274300"/>
    <w:rsid w:val="00284F0C"/>
    <w:rsid w:val="002947DD"/>
    <w:rsid w:val="002B1D96"/>
    <w:rsid w:val="002C1829"/>
    <w:rsid w:val="002C3BD4"/>
    <w:rsid w:val="002C4EBC"/>
    <w:rsid w:val="002D7A15"/>
    <w:rsid w:val="002E04CF"/>
    <w:rsid w:val="002E15CA"/>
    <w:rsid w:val="002E2E2D"/>
    <w:rsid w:val="002F0B8D"/>
    <w:rsid w:val="002F1D9A"/>
    <w:rsid w:val="00302465"/>
    <w:rsid w:val="003214CF"/>
    <w:rsid w:val="00321843"/>
    <w:rsid w:val="003229C5"/>
    <w:rsid w:val="003242BF"/>
    <w:rsid w:val="00326512"/>
    <w:rsid w:val="003366FA"/>
    <w:rsid w:val="003407AB"/>
    <w:rsid w:val="003464A5"/>
    <w:rsid w:val="00347DB8"/>
    <w:rsid w:val="00352D0D"/>
    <w:rsid w:val="00356F14"/>
    <w:rsid w:val="0035762C"/>
    <w:rsid w:val="00362CEB"/>
    <w:rsid w:val="003643FD"/>
    <w:rsid w:val="0036549D"/>
    <w:rsid w:val="003732B6"/>
    <w:rsid w:val="003761E3"/>
    <w:rsid w:val="0038379B"/>
    <w:rsid w:val="0039043F"/>
    <w:rsid w:val="00395584"/>
    <w:rsid w:val="00396949"/>
    <w:rsid w:val="003A24D4"/>
    <w:rsid w:val="003A4B4A"/>
    <w:rsid w:val="003A546D"/>
    <w:rsid w:val="003B5212"/>
    <w:rsid w:val="003C2BE7"/>
    <w:rsid w:val="003C52E1"/>
    <w:rsid w:val="003D1D22"/>
    <w:rsid w:val="003D578A"/>
    <w:rsid w:val="003E1C57"/>
    <w:rsid w:val="003E3032"/>
    <w:rsid w:val="003F7304"/>
    <w:rsid w:val="0040082F"/>
    <w:rsid w:val="00401BB2"/>
    <w:rsid w:val="00404C9A"/>
    <w:rsid w:val="0040611B"/>
    <w:rsid w:val="0041240A"/>
    <w:rsid w:val="004131FC"/>
    <w:rsid w:val="00432BDE"/>
    <w:rsid w:val="00435DFB"/>
    <w:rsid w:val="004361F3"/>
    <w:rsid w:val="00445C22"/>
    <w:rsid w:val="00450869"/>
    <w:rsid w:val="004520BB"/>
    <w:rsid w:val="00453E52"/>
    <w:rsid w:val="0046603F"/>
    <w:rsid w:val="00477E64"/>
    <w:rsid w:val="0048074B"/>
    <w:rsid w:val="00482F92"/>
    <w:rsid w:val="00491B1A"/>
    <w:rsid w:val="004A02A3"/>
    <w:rsid w:val="004B3C38"/>
    <w:rsid w:val="004D47A0"/>
    <w:rsid w:val="004D4D36"/>
    <w:rsid w:val="004D76E7"/>
    <w:rsid w:val="004E211F"/>
    <w:rsid w:val="004E5CBA"/>
    <w:rsid w:val="004F1A9F"/>
    <w:rsid w:val="004F5D3F"/>
    <w:rsid w:val="004F7609"/>
    <w:rsid w:val="00501E3C"/>
    <w:rsid w:val="0051041D"/>
    <w:rsid w:val="00510A18"/>
    <w:rsid w:val="00513149"/>
    <w:rsid w:val="00515DA7"/>
    <w:rsid w:val="00523982"/>
    <w:rsid w:val="00527954"/>
    <w:rsid w:val="00531DFE"/>
    <w:rsid w:val="005343F5"/>
    <w:rsid w:val="00546F8B"/>
    <w:rsid w:val="0054703B"/>
    <w:rsid w:val="00552FF9"/>
    <w:rsid w:val="005667F1"/>
    <w:rsid w:val="005773AF"/>
    <w:rsid w:val="00580EDC"/>
    <w:rsid w:val="00583574"/>
    <w:rsid w:val="00583A6A"/>
    <w:rsid w:val="00583DAE"/>
    <w:rsid w:val="005913F5"/>
    <w:rsid w:val="00593E8D"/>
    <w:rsid w:val="00595B4E"/>
    <w:rsid w:val="00597BAD"/>
    <w:rsid w:val="005B487A"/>
    <w:rsid w:val="005B59AC"/>
    <w:rsid w:val="005C11DD"/>
    <w:rsid w:val="005C12F6"/>
    <w:rsid w:val="005C4BAB"/>
    <w:rsid w:val="005C674E"/>
    <w:rsid w:val="005D0B4B"/>
    <w:rsid w:val="005D0F38"/>
    <w:rsid w:val="005D5F97"/>
    <w:rsid w:val="005D6798"/>
    <w:rsid w:val="005E6778"/>
    <w:rsid w:val="005F1D12"/>
    <w:rsid w:val="005F434A"/>
    <w:rsid w:val="005F646B"/>
    <w:rsid w:val="00600107"/>
    <w:rsid w:val="006001D8"/>
    <w:rsid w:val="00610BEB"/>
    <w:rsid w:val="0061212D"/>
    <w:rsid w:val="00612168"/>
    <w:rsid w:val="00621A34"/>
    <w:rsid w:val="00625B3A"/>
    <w:rsid w:val="006279B6"/>
    <w:rsid w:val="00636DBB"/>
    <w:rsid w:val="00637398"/>
    <w:rsid w:val="0064350C"/>
    <w:rsid w:val="00644EE4"/>
    <w:rsid w:val="0065042B"/>
    <w:rsid w:val="00654C43"/>
    <w:rsid w:val="00656359"/>
    <w:rsid w:val="00657E70"/>
    <w:rsid w:val="00657F4D"/>
    <w:rsid w:val="00662A0A"/>
    <w:rsid w:val="00670335"/>
    <w:rsid w:val="006749D7"/>
    <w:rsid w:val="00687880"/>
    <w:rsid w:val="00691AF2"/>
    <w:rsid w:val="0069464B"/>
    <w:rsid w:val="00696148"/>
    <w:rsid w:val="006A1E0B"/>
    <w:rsid w:val="006B54FC"/>
    <w:rsid w:val="006B5AF1"/>
    <w:rsid w:val="006B5CE0"/>
    <w:rsid w:val="006B6627"/>
    <w:rsid w:val="006B6F82"/>
    <w:rsid w:val="006B75D8"/>
    <w:rsid w:val="006C0A29"/>
    <w:rsid w:val="006C20E6"/>
    <w:rsid w:val="006C5AFD"/>
    <w:rsid w:val="006D4BD0"/>
    <w:rsid w:val="006D58AB"/>
    <w:rsid w:val="006E1D31"/>
    <w:rsid w:val="006F20B2"/>
    <w:rsid w:val="00700587"/>
    <w:rsid w:val="00704DE1"/>
    <w:rsid w:val="00711FAC"/>
    <w:rsid w:val="00715B1C"/>
    <w:rsid w:val="00722822"/>
    <w:rsid w:val="0073313B"/>
    <w:rsid w:val="00735C21"/>
    <w:rsid w:val="00743AAD"/>
    <w:rsid w:val="00746076"/>
    <w:rsid w:val="00751432"/>
    <w:rsid w:val="00751DC2"/>
    <w:rsid w:val="00754593"/>
    <w:rsid w:val="00757F78"/>
    <w:rsid w:val="0078391D"/>
    <w:rsid w:val="00785DC7"/>
    <w:rsid w:val="00790F58"/>
    <w:rsid w:val="00791BAE"/>
    <w:rsid w:val="007A05FA"/>
    <w:rsid w:val="007A2B6A"/>
    <w:rsid w:val="007A7F5F"/>
    <w:rsid w:val="007B1BC1"/>
    <w:rsid w:val="007B2CB6"/>
    <w:rsid w:val="007B310D"/>
    <w:rsid w:val="007B35D2"/>
    <w:rsid w:val="007C2A62"/>
    <w:rsid w:val="007C367B"/>
    <w:rsid w:val="007C36FF"/>
    <w:rsid w:val="007C69A2"/>
    <w:rsid w:val="007C6C49"/>
    <w:rsid w:val="007C7466"/>
    <w:rsid w:val="007F1411"/>
    <w:rsid w:val="0080122C"/>
    <w:rsid w:val="0081257D"/>
    <w:rsid w:val="008139D5"/>
    <w:rsid w:val="00814C5A"/>
    <w:rsid w:val="00820684"/>
    <w:rsid w:val="00825533"/>
    <w:rsid w:val="00833E05"/>
    <w:rsid w:val="00841000"/>
    <w:rsid w:val="008451A4"/>
    <w:rsid w:val="0085007C"/>
    <w:rsid w:val="00852D81"/>
    <w:rsid w:val="00855A9F"/>
    <w:rsid w:val="00855C6E"/>
    <w:rsid w:val="00863CBE"/>
    <w:rsid w:val="008677BD"/>
    <w:rsid w:val="00874EC9"/>
    <w:rsid w:val="00875CF1"/>
    <w:rsid w:val="00881873"/>
    <w:rsid w:val="008966C3"/>
    <w:rsid w:val="00896DEA"/>
    <w:rsid w:val="008A4C24"/>
    <w:rsid w:val="008B0CBE"/>
    <w:rsid w:val="008B3282"/>
    <w:rsid w:val="008B53FB"/>
    <w:rsid w:val="008C2913"/>
    <w:rsid w:val="008C451D"/>
    <w:rsid w:val="008D3019"/>
    <w:rsid w:val="008D5515"/>
    <w:rsid w:val="008E1BEA"/>
    <w:rsid w:val="008E4F8F"/>
    <w:rsid w:val="009044DF"/>
    <w:rsid w:val="009065FA"/>
    <w:rsid w:val="0090752D"/>
    <w:rsid w:val="00916CDC"/>
    <w:rsid w:val="00922E03"/>
    <w:rsid w:val="00926889"/>
    <w:rsid w:val="00932477"/>
    <w:rsid w:val="0094585B"/>
    <w:rsid w:val="00945A79"/>
    <w:rsid w:val="0095124C"/>
    <w:rsid w:val="00954524"/>
    <w:rsid w:val="00955960"/>
    <w:rsid w:val="00961DA5"/>
    <w:rsid w:val="00974D74"/>
    <w:rsid w:val="009759B3"/>
    <w:rsid w:val="009A5386"/>
    <w:rsid w:val="009B0729"/>
    <w:rsid w:val="009B4ADB"/>
    <w:rsid w:val="009C2126"/>
    <w:rsid w:val="009C2E07"/>
    <w:rsid w:val="009C3C00"/>
    <w:rsid w:val="009C5595"/>
    <w:rsid w:val="009D1664"/>
    <w:rsid w:val="009D42AE"/>
    <w:rsid w:val="009E0819"/>
    <w:rsid w:val="009F0E29"/>
    <w:rsid w:val="009F24C9"/>
    <w:rsid w:val="009F5115"/>
    <w:rsid w:val="009F5F1F"/>
    <w:rsid w:val="009F7192"/>
    <w:rsid w:val="00A1708D"/>
    <w:rsid w:val="00A178DF"/>
    <w:rsid w:val="00A20368"/>
    <w:rsid w:val="00A210EE"/>
    <w:rsid w:val="00A27141"/>
    <w:rsid w:val="00A337CD"/>
    <w:rsid w:val="00A364FC"/>
    <w:rsid w:val="00A36668"/>
    <w:rsid w:val="00A3701C"/>
    <w:rsid w:val="00A42692"/>
    <w:rsid w:val="00A61814"/>
    <w:rsid w:val="00A670A1"/>
    <w:rsid w:val="00A7287D"/>
    <w:rsid w:val="00A73857"/>
    <w:rsid w:val="00A76FAF"/>
    <w:rsid w:val="00A80908"/>
    <w:rsid w:val="00A83794"/>
    <w:rsid w:val="00A91F91"/>
    <w:rsid w:val="00A93F11"/>
    <w:rsid w:val="00A979EF"/>
    <w:rsid w:val="00AA54F4"/>
    <w:rsid w:val="00AB4A73"/>
    <w:rsid w:val="00AB5A5D"/>
    <w:rsid w:val="00AC004A"/>
    <w:rsid w:val="00AC05EA"/>
    <w:rsid w:val="00AC1D79"/>
    <w:rsid w:val="00AC35B6"/>
    <w:rsid w:val="00AC5722"/>
    <w:rsid w:val="00AD3E9A"/>
    <w:rsid w:val="00AD40DD"/>
    <w:rsid w:val="00AD5E02"/>
    <w:rsid w:val="00AD6C2F"/>
    <w:rsid w:val="00AE1625"/>
    <w:rsid w:val="00AF2A89"/>
    <w:rsid w:val="00AF369C"/>
    <w:rsid w:val="00B04233"/>
    <w:rsid w:val="00B14850"/>
    <w:rsid w:val="00B40FC0"/>
    <w:rsid w:val="00B55101"/>
    <w:rsid w:val="00B57782"/>
    <w:rsid w:val="00B66F63"/>
    <w:rsid w:val="00B7270D"/>
    <w:rsid w:val="00B816A0"/>
    <w:rsid w:val="00B854E7"/>
    <w:rsid w:val="00BA1B9B"/>
    <w:rsid w:val="00BA1F05"/>
    <w:rsid w:val="00BB4E71"/>
    <w:rsid w:val="00BC1C7E"/>
    <w:rsid w:val="00BC27C9"/>
    <w:rsid w:val="00BC2FB2"/>
    <w:rsid w:val="00BC475E"/>
    <w:rsid w:val="00BC614B"/>
    <w:rsid w:val="00BC6B19"/>
    <w:rsid w:val="00BD249E"/>
    <w:rsid w:val="00BD3EDA"/>
    <w:rsid w:val="00BF74DA"/>
    <w:rsid w:val="00C03484"/>
    <w:rsid w:val="00C053F4"/>
    <w:rsid w:val="00C122DE"/>
    <w:rsid w:val="00C22D63"/>
    <w:rsid w:val="00C2759C"/>
    <w:rsid w:val="00C27996"/>
    <w:rsid w:val="00C3059E"/>
    <w:rsid w:val="00C332F8"/>
    <w:rsid w:val="00C451D3"/>
    <w:rsid w:val="00C63E3B"/>
    <w:rsid w:val="00C67931"/>
    <w:rsid w:val="00C74D9D"/>
    <w:rsid w:val="00C81ADB"/>
    <w:rsid w:val="00C84BF6"/>
    <w:rsid w:val="00C861C1"/>
    <w:rsid w:val="00C87989"/>
    <w:rsid w:val="00C9294A"/>
    <w:rsid w:val="00C942AC"/>
    <w:rsid w:val="00C95906"/>
    <w:rsid w:val="00CA37B9"/>
    <w:rsid w:val="00CA744F"/>
    <w:rsid w:val="00CA7A12"/>
    <w:rsid w:val="00CB5252"/>
    <w:rsid w:val="00CC04D6"/>
    <w:rsid w:val="00CC4605"/>
    <w:rsid w:val="00CD097B"/>
    <w:rsid w:val="00CD13F8"/>
    <w:rsid w:val="00CD76F9"/>
    <w:rsid w:val="00CE1452"/>
    <w:rsid w:val="00CE4213"/>
    <w:rsid w:val="00CF6D83"/>
    <w:rsid w:val="00D001C1"/>
    <w:rsid w:val="00D03337"/>
    <w:rsid w:val="00D03754"/>
    <w:rsid w:val="00D04514"/>
    <w:rsid w:val="00D04640"/>
    <w:rsid w:val="00D05733"/>
    <w:rsid w:val="00D059D9"/>
    <w:rsid w:val="00D17D87"/>
    <w:rsid w:val="00D21CF1"/>
    <w:rsid w:val="00D27C13"/>
    <w:rsid w:val="00D32625"/>
    <w:rsid w:val="00D35066"/>
    <w:rsid w:val="00D36240"/>
    <w:rsid w:val="00D45A4F"/>
    <w:rsid w:val="00D46C7B"/>
    <w:rsid w:val="00D50053"/>
    <w:rsid w:val="00D50275"/>
    <w:rsid w:val="00D5126A"/>
    <w:rsid w:val="00D5188C"/>
    <w:rsid w:val="00D5786F"/>
    <w:rsid w:val="00D61DB3"/>
    <w:rsid w:val="00D6650D"/>
    <w:rsid w:val="00D6680F"/>
    <w:rsid w:val="00D7452F"/>
    <w:rsid w:val="00D75202"/>
    <w:rsid w:val="00D758DD"/>
    <w:rsid w:val="00D81EBB"/>
    <w:rsid w:val="00D824F3"/>
    <w:rsid w:val="00DA0B0A"/>
    <w:rsid w:val="00DA5C0E"/>
    <w:rsid w:val="00DC06C3"/>
    <w:rsid w:val="00DC08CB"/>
    <w:rsid w:val="00DC5BCB"/>
    <w:rsid w:val="00DD3809"/>
    <w:rsid w:val="00DD5E42"/>
    <w:rsid w:val="00DD6890"/>
    <w:rsid w:val="00DE0463"/>
    <w:rsid w:val="00DE1780"/>
    <w:rsid w:val="00DE18DB"/>
    <w:rsid w:val="00DE3E63"/>
    <w:rsid w:val="00E03E62"/>
    <w:rsid w:val="00E110EB"/>
    <w:rsid w:val="00E129E8"/>
    <w:rsid w:val="00E12A57"/>
    <w:rsid w:val="00E13685"/>
    <w:rsid w:val="00E22CE4"/>
    <w:rsid w:val="00E2724A"/>
    <w:rsid w:val="00E34615"/>
    <w:rsid w:val="00E3593F"/>
    <w:rsid w:val="00E37013"/>
    <w:rsid w:val="00E374E9"/>
    <w:rsid w:val="00E43FD4"/>
    <w:rsid w:val="00E50A28"/>
    <w:rsid w:val="00E514A3"/>
    <w:rsid w:val="00E57D7A"/>
    <w:rsid w:val="00E602FE"/>
    <w:rsid w:val="00E64A1E"/>
    <w:rsid w:val="00E72B34"/>
    <w:rsid w:val="00E74077"/>
    <w:rsid w:val="00E84183"/>
    <w:rsid w:val="00E84428"/>
    <w:rsid w:val="00E92B3C"/>
    <w:rsid w:val="00E95BE5"/>
    <w:rsid w:val="00EA3E48"/>
    <w:rsid w:val="00EA46E6"/>
    <w:rsid w:val="00EA4F5F"/>
    <w:rsid w:val="00EA60E4"/>
    <w:rsid w:val="00EB1FD7"/>
    <w:rsid w:val="00EC278E"/>
    <w:rsid w:val="00EC2A6C"/>
    <w:rsid w:val="00EC5CED"/>
    <w:rsid w:val="00EC71A1"/>
    <w:rsid w:val="00ED0D27"/>
    <w:rsid w:val="00ED1A2C"/>
    <w:rsid w:val="00ED1B15"/>
    <w:rsid w:val="00ED24CB"/>
    <w:rsid w:val="00ED5265"/>
    <w:rsid w:val="00ED7BBF"/>
    <w:rsid w:val="00EE2049"/>
    <w:rsid w:val="00EE799C"/>
    <w:rsid w:val="00EF01DD"/>
    <w:rsid w:val="00EF3287"/>
    <w:rsid w:val="00F03310"/>
    <w:rsid w:val="00F14F3E"/>
    <w:rsid w:val="00F14F95"/>
    <w:rsid w:val="00F16637"/>
    <w:rsid w:val="00F171B9"/>
    <w:rsid w:val="00F24E7C"/>
    <w:rsid w:val="00F31DF7"/>
    <w:rsid w:val="00F41B08"/>
    <w:rsid w:val="00F435FA"/>
    <w:rsid w:val="00F50B0C"/>
    <w:rsid w:val="00F61FE8"/>
    <w:rsid w:val="00F7570C"/>
    <w:rsid w:val="00F75A9C"/>
    <w:rsid w:val="00F82460"/>
    <w:rsid w:val="00F82B4C"/>
    <w:rsid w:val="00F847F9"/>
    <w:rsid w:val="00F84A21"/>
    <w:rsid w:val="00F86BC4"/>
    <w:rsid w:val="00F86C44"/>
    <w:rsid w:val="00F91E31"/>
    <w:rsid w:val="00FA0D5F"/>
    <w:rsid w:val="00FA2823"/>
    <w:rsid w:val="00FA6543"/>
    <w:rsid w:val="00FB03C4"/>
    <w:rsid w:val="00FB0995"/>
    <w:rsid w:val="00FB273D"/>
    <w:rsid w:val="00FC0AF5"/>
    <w:rsid w:val="00FC27C8"/>
    <w:rsid w:val="00FC290A"/>
    <w:rsid w:val="00FD574B"/>
    <w:rsid w:val="00FE504A"/>
    <w:rsid w:val="00FF013C"/>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24B10"/>
  <w15:chartTrackingRefBased/>
  <w15:docId w15:val="{FAAD1C5A-AD0A-4693-ADF8-DFC99A1A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0D"/>
    <w:rPr>
      <w:rFonts w:ascii="Arial" w:hAnsi="Arial" w:cs="Arial"/>
      <w:sz w:val="24"/>
      <w:szCs w:val="24"/>
    </w:rPr>
  </w:style>
  <w:style w:type="paragraph" w:styleId="Heading1">
    <w:name w:val="heading 1"/>
    <w:basedOn w:val="Normal"/>
    <w:next w:val="Normal"/>
    <w:link w:val="Heading1Char"/>
    <w:uiPriority w:val="99"/>
    <w:qFormat/>
    <w:rsid w:val="00352D0D"/>
    <w:pPr>
      <w:keepNext/>
      <w:spacing w:before="240" w:after="60"/>
      <w:outlineLvl w:val="0"/>
    </w:pPr>
    <w:rPr>
      <w:rFonts w:ascii="Cambria" w:hAnsi="Cambria" w:cs="Times New Roman"/>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2D0D"/>
    <w:rPr>
      <w:rFonts w:ascii="Cambria" w:hAnsi="Cambria"/>
      <w:b/>
      <w:kern w:val="32"/>
      <w:sz w:val="32"/>
    </w:rPr>
  </w:style>
  <w:style w:type="paragraph" w:styleId="Title">
    <w:name w:val="Title"/>
    <w:basedOn w:val="Normal"/>
    <w:next w:val="Normal"/>
    <w:link w:val="TitleChar"/>
    <w:uiPriority w:val="99"/>
    <w:qFormat/>
    <w:rsid w:val="00352D0D"/>
    <w:pPr>
      <w:jc w:val="center"/>
    </w:pPr>
    <w:rPr>
      <w:rFonts w:cs="Times New Roman"/>
      <w:b/>
      <w:sz w:val="44"/>
      <w:szCs w:val="20"/>
      <w:lang w:val="x-none" w:eastAsia="x-none"/>
    </w:rPr>
  </w:style>
  <w:style w:type="character" w:customStyle="1" w:styleId="TitleChar">
    <w:name w:val="Title Char"/>
    <w:link w:val="Title"/>
    <w:uiPriority w:val="99"/>
    <w:locked/>
    <w:rsid w:val="00352D0D"/>
    <w:rPr>
      <w:rFonts w:ascii="Arial" w:hAnsi="Arial"/>
      <w:b/>
      <w:sz w:val="44"/>
    </w:rPr>
  </w:style>
  <w:style w:type="paragraph" w:styleId="ListParagraph">
    <w:name w:val="List Paragraph"/>
    <w:basedOn w:val="Normal"/>
    <w:uiPriority w:val="34"/>
    <w:qFormat/>
    <w:rsid w:val="00BC27C9"/>
    <w:pPr>
      <w:ind w:left="720"/>
      <w:contextualSpacing/>
    </w:pPr>
  </w:style>
  <w:style w:type="paragraph" w:styleId="Header">
    <w:name w:val="header"/>
    <w:basedOn w:val="Normal"/>
    <w:link w:val="HeaderChar"/>
    <w:uiPriority w:val="99"/>
    <w:rsid w:val="00B7270D"/>
    <w:pPr>
      <w:tabs>
        <w:tab w:val="center" w:pos="4513"/>
        <w:tab w:val="right" w:pos="9026"/>
      </w:tabs>
    </w:pPr>
    <w:rPr>
      <w:rFonts w:cs="Times New Roman"/>
      <w:lang w:val="x-none"/>
    </w:rPr>
  </w:style>
  <w:style w:type="character" w:customStyle="1" w:styleId="HeaderChar">
    <w:name w:val="Header Char"/>
    <w:link w:val="Header"/>
    <w:uiPriority w:val="99"/>
    <w:locked/>
    <w:rsid w:val="00B7270D"/>
    <w:rPr>
      <w:rFonts w:ascii="Arial" w:hAnsi="Arial" w:cs="Arial"/>
      <w:sz w:val="24"/>
      <w:szCs w:val="24"/>
      <w:lang w:eastAsia="en-GB"/>
    </w:rPr>
  </w:style>
  <w:style w:type="paragraph" w:styleId="Footer">
    <w:name w:val="footer"/>
    <w:basedOn w:val="Normal"/>
    <w:link w:val="FooterChar"/>
    <w:uiPriority w:val="99"/>
    <w:rsid w:val="00B7270D"/>
    <w:pPr>
      <w:tabs>
        <w:tab w:val="center" w:pos="4513"/>
        <w:tab w:val="right" w:pos="9026"/>
      </w:tabs>
    </w:pPr>
    <w:rPr>
      <w:rFonts w:cs="Times New Roman"/>
      <w:lang w:val="x-none"/>
    </w:rPr>
  </w:style>
  <w:style w:type="character" w:customStyle="1" w:styleId="FooterChar">
    <w:name w:val="Footer Char"/>
    <w:link w:val="Footer"/>
    <w:uiPriority w:val="99"/>
    <w:locked/>
    <w:rsid w:val="00B7270D"/>
    <w:rPr>
      <w:rFonts w:ascii="Arial" w:hAnsi="Arial" w:cs="Arial"/>
      <w:sz w:val="24"/>
      <w:szCs w:val="24"/>
      <w:lang w:eastAsia="en-GB"/>
    </w:rPr>
  </w:style>
  <w:style w:type="paragraph" w:customStyle="1" w:styleId="Numberedparagraph">
    <w:name w:val="Numbered paragraph"/>
    <w:basedOn w:val="Normal"/>
    <w:link w:val="NumberedparagraphChar"/>
    <w:uiPriority w:val="99"/>
    <w:rsid w:val="008D5515"/>
    <w:pPr>
      <w:numPr>
        <w:numId w:val="5"/>
      </w:numPr>
    </w:pPr>
    <w:rPr>
      <w:rFonts w:ascii="Times New Roman" w:hAnsi="Times New Roman" w:cs="Times New Roman"/>
      <w:lang w:val="x-none"/>
    </w:rPr>
  </w:style>
  <w:style w:type="character" w:customStyle="1" w:styleId="NumberedparagraphChar">
    <w:name w:val="Numbered paragraph Char"/>
    <w:link w:val="Numberedparagraph"/>
    <w:uiPriority w:val="99"/>
    <w:locked/>
    <w:rsid w:val="008D5515"/>
    <w:rPr>
      <w:rFonts w:cs="Times New Roman"/>
      <w:sz w:val="24"/>
      <w:szCs w:val="24"/>
      <w:lang w:eastAsia="en-GB"/>
    </w:rPr>
  </w:style>
  <w:style w:type="character" w:styleId="CommentReference">
    <w:name w:val="annotation reference"/>
    <w:uiPriority w:val="99"/>
    <w:rsid w:val="00321843"/>
    <w:rPr>
      <w:rFonts w:cs="Times New Roman"/>
      <w:sz w:val="16"/>
      <w:szCs w:val="16"/>
    </w:rPr>
  </w:style>
  <w:style w:type="paragraph" w:styleId="CommentText">
    <w:name w:val="annotation text"/>
    <w:basedOn w:val="Normal"/>
    <w:link w:val="CommentTextChar"/>
    <w:uiPriority w:val="99"/>
    <w:rsid w:val="00321843"/>
    <w:rPr>
      <w:rFonts w:cs="Times New Roman"/>
      <w:sz w:val="20"/>
      <w:szCs w:val="20"/>
      <w:lang w:val="x-none"/>
    </w:rPr>
  </w:style>
  <w:style w:type="character" w:customStyle="1" w:styleId="CommentTextChar">
    <w:name w:val="Comment Text Char"/>
    <w:link w:val="CommentText"/>
    <w:uiPriority w:val="99"/>
    <w:locked/>
    <w:rsid w:val="00321843"/>
    <w:rPr>
      <w:rFonts w:ascii="Arial" w:hAnsi="Arial" w:cs="Arial"/>
      <w:lang w:eastAsia="en-GB"/>
    </w:rPr>
  </w:style>
  <w:style w:type="paragraph" w:styleId="CommentSubject">
    <w:name w:val="annotation subject"/>
    <w:basedOn w:val="CommentText"/>
    <w:next w:val="CommentText"/>
    <w:link w:val="CommentSubjectChar"/>
    <w:uiPriority w:val="99"/>
    <w:semiHidden/>
    <w:rsid w:val="00321843"/>
    <w:rPr>
      <w:b/>
      <w:bCs/>
    </w:rPr>
  </w:style>
  <w:style w:type="character" w:customStyle="1" w:styleId="CommentSubjectChar">
    <w:name w:val="Comment Subject Char"/>
    <w:link w:val="CommentSubject"/>
    <w:uiPriority w:val="99"/>
    <w:semiHidden/>
    <w:locked/>
    <w:rsid w:val="00321843"/>
    <w:rPr>
      <w:rFonts w:ascii="Arial" w:hAnsi="Arial" w:cs="Arial"/>
      <w:b/>
      <w:bCs/>
      <w:lang w:eastAsia="en-GB"/>
    </w:rPr>
  </w:style>
  <w:style w:type="paragraph" w:styleId="BalloonText">
    <w:name w:val="Balloon Text"/>
    <w:basedOn w:val="Normal"/>
    <w:link w:val="BalloonTextChar"/>
    <w:uiPriority w:val="99"/>
    <w:semiHidden/>
    <w:rsid w:val="00321843"/>
    <w:rPr>
      <w:rFonts w:ascii="Tahoma" w:hAnsi="Tahoma" w:cs="Times New Roman"/>
      <w:sz w:val="16"/>
      <w:szCs w:val="16"/>
      <w:lang w:val="x-none"/>
    </w:rPr>
  </w:style>
  <w:style w:type="character" w:customStyle="1" w:styleId="BalloonTextChar">
    <w:name w:val="Balloon Text Char"/>
    <w:link w:val="BalloonText"/>
    <w:uiPriority w:val="99"/>
    <w:semiHidden/>
    <w:locked/>
    <w:rsid w:val="00321843"/>
    <w:rPr>
      <w:rFonts w:ascii="Tahoma" w:hAnsi="Tahoma" w:cs="Tahoma"/>
      <w:sz w:val="16"/>
      <w:szCs w:val="16"/>
      <w:lang w:eastAsia="en-GB"/>
    </w:rPr>
  </w:style>
  <w:style w:type="paragraph" w:styleId="BodyText">
    <w:name w:val="Body Text"/>
    <w:basedOn w:val="Normal"/>
    <w:link w:val="BodyTextChar"/>
    <w:uiPriority w:val="99"/>
    <w:rsid w:val="00ED1A2C"/>
    <w:rPr>
      <w:rFonts w:ascii="Times New Roman" w:hAnsi="Times New Roman" w:cs="Times New Roman"/>
      <w:lang w:val="x-none" w:eastAsia="x-none"/>
    </w:rPr>
  </w:style>
  <w:style w:type="character" w:customStyle="1" w:styleId="BodyTextChar">
    <w:name w:val="Body Text Char"/>
    <w:link w:val="BodyText"/>
    <w:uiPriority w:val="99"/>
    <w:locked/>
    <w:rsid w:val="00ED1A2C"/>
    <w:rPr>
      <w:rFonts w:cs="Arial"/>
      <w:sz w:val="24"/>
      <w:szCs w:val="24"/>
    </w:rPr>
  </w:style>
  <w:style w:type="character" w:styleId="Hyperlink">
    <w:name w:val="Hyperlink"/>
    <w:uiPriority w:val="99"/>
    <w:semiHidden/>
    <w:rsid w:val="007B310D"/>
    <w:rPr>
      <w:rFonts w:cs="Times New Roman"/>
      <w:color w:val="0000FF"/>
      <w:u w:val="single"/>
    </w:rPr>
  </w:style>
  <w:style w:type="table" w:styleId="TableGrid">
    <w:name w:val="Table Grid"/>
    <w:basedOn w:val="TableNormal"/>
    <w:uiPriority w:val="39"/>
    <w:locked/>
    <w:rsid w:val="002F1D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B314B"/>
    <w:rPr>
      <w:color w:val="954F72"/>
      <w:u w:val="single"/>
    </w:rPr>
  </w:style>
  <w:style w:type="paragraph" w:styleId="NoSpacing">
    <w:name w:val="No Spacing"/>
    <w:uiPriority w:val="1"/>
    <w:qFormat/>
    <w:rsid w:val="00233C1E"/>
    <w:rPr>
      <w:rFonts w:ascii="Arial" w:hAnsi="Arial" w:cs="Arial"/>
      <w:sz w:val="24"/>
      <w:szCs w:val="24"/>
    </w:rPr>
  </w:style>
  <w:style w:type="character" w:styleId="UnresolvedMention">
    <w:name w:val="Unresolved Mention"/>
    <w:uiPriority w:val="99"/>
    <w:semiHidden/>
    <w:unhideWhenUsed/>
    <w:rsid w:val="00DC5BCB"/>
    <w:rPr>
      <w:color w:val="605E5C"/>
      <w:shd w:val="clear" w:color="auto" w:fill="E1DFDD"/>
    </w:rPr>
  </w:style>
  <w:style w:type="paragraph" w:styleId="Revision">
    <w:name w:val="Revision"/>
    <w:hidden/>
    <w:uiPriority w:val="99"/>
    <w:semiHidden/>
    <w:rsid w:val="00C22D6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878">
      <w:bodyDiv w:val="1"/>
      <w:marLeft w:val="0"/>
      <w:marRight w:val="0"/>
      <w:marTop w:val="0"/>
      <w:marBottom w:val="0"/>
      <w:divBdr>
        <w:top w:val="none" w:sz="0" w:space="0" w:color="auto"/>
        <w:left w:val="none" w:sz="0" w:space="0" w:color="auto"/>
        <w:bottom w:val="none" w:sz="0" w:space="0" w:color="auto"/>
        <w:right w:val="none" w:sz="0" w:space="0" w:color="auto"/>
      </w:divBdr>
    </w:div>
    <w:div w:id="297149900">
      <w:bodyDiv w:val="1"/>
      <w:marLeft w:val="0"/>
      <w:marRight w:val="0"/>
      <w:marTop w:val="0"/>
      <w:marBottom w:val="0"/>
      <w:divBdr>
        <w:top w:val="none" w:sz="0" w:space="0" w:color="auto"/>
        <w:left w:val="none" w:sz="0" w:space="0" w:color="auto"/>
        <w:bottom w:val="none" w:sz="0" w:space="0" w:color="auto"/>
        <w:right w:val="none" w:sz="0" w:space="0" w:color="auto"/>
      </w:divBdr>
    </w:div>
    <w:div w:id="357241252">
      <w:marLeft w:val="0"/>
      <w:marRight w:val="0"/>
      <w:marTop w:val="0"/>
      <w:marBottom w:val="0"/>
      <w:divBdr>
        <w:top w:val="none" w:sz="0" w:space="0" w:color="auto"/>
        <w:left w:val="none" w:sz="0" w:space="0" w:color="auto"/>
        <w:bottom w:val="none" w:sz="0" w:space="0" w:color="auto"/>
        <w:right w:val="none" w:sz="0" w:space="0" w:color="auto"/>
      </w:divBdr>
      <w:divsChild>
        <w:div w:id="357241214">
          <w:marLeft w:val="0"/>
          <w:marRight w:val="0"/>
          <w:marTop w:val="0"/>
          <w:marBottom w:val="0"/>
          <w:divBdr>
            <w:top w:val="none" w:sz="0" w:space="0" w:color="auto"/>
            <w:left w:val="none" w:sz="0" w:space="0" w:color="auto"/>
            <w:bottom w:val="none" w:sz="0" w:space="0" w:color="auto"/>
            <w:right w:val="none" w:sz="0" w:space="0" w:color="auto"/>
          </w:divBdr>
        </w:div>
        <w:div w:id="357241215">
          <w:marLeft w:val="0"/>
          <w:marRight w:val="0"/>
          <w:marTop w:val="0"/>
          <w:marBottom w:val="0"/>
          <w:divBdr>
            <w:top w:val="none" w:sz="0" w:space="0" w:color="auto"/>
            <w:left w:val="none" w:sz="0" w:space="0" w:color="auto"/>
            <w:bottom w:val="none" w:sz="0" w:space="0" w:color="auto"/>
            <w:right w:val="none" w:sz="0" w:space="0" w:color="auto"/>
          </w:divBdr>
        </w:div>
        <w:div w:id="357241216">
          <w:marLeft w:val="0"/>
          <w:marRight w:val="0"/>
          <w:marTop w:val="0"/>
          <w:marBottom w:val="0"/>
          <w:divBdr>
            <w:top w:val="none" w:sz="0" w:space="0" w:color="auto"/>
            <w:left w:val="none" w:sz="0" w:space="0" w:color="auto"/>
            <w:bottom w:val="none" w:sz="0" w:space="0" w:color="auto"/>
            <w:right w:val="none" w:sz="0" w:space="0" w:color="auto"/>
          </w:divBdr>
        </w:div>
        <w:div w:id="357241217">
          <w:marLeft w:val="0"/>
          <w:marRight w:val="0"/>
          <w:marTop w:val="0"/>
          <w:marBottom w:val="0"/>
          <w:divBdr>
            <w:top w:val="none" w:sz="0" w:space="0" w:color="auto"/>
            <w:left w:val="none" w:sz="0" w:space="0" w:color="auto"/>
            <w:bottom w:val="none" w:sz="0" w:space="0" w:color="auto"/>
            <w:right w:val="none" w:sz="0" w:space="0" w:color="auto"/>
          </w:divBdr>
        </w:div>
        <w:div w:id="357241218">
          <w:marLeft w:val="0"/>
          <w:marRight w:val="0"/>
          <w:marTop w:val="0"/>
          <w:marBottom w:val="0"/>
          <w:divBdr>
            <w:top w:val="none" w:sz="0" w:space="0" w:color="auto"/>
            <w:left w:val="none" w:sz="0" w:space="0" w:color="auto"/>
            <w:bottom w:val="none" w:sz="0" w:space="0" w:color="auto"/>
            <w:right w:val="none" w:sz="0" w:space="0" w:color="auto"/>
          </w:divBdr>
        </w:div>
        <w:div w:id="357241219">
          <w:marLeft w:val="0"/>
          <w:marRight w:val="0"/>
          <w:marTop w:val="0"/>
          <w:marBottom w:val="0"/>
          <w:divBdr>
            <w:top w:val="none" w:sz="0" w:space="0" w:color="auto"/>
            <w:left w:val="none" w:sz="0" w:space="0" w:color="auto"/>
            <w:bottom w:val="none" w:sz="0" w:space="0" w:color="auto"/>
            <w:right w:val="none" w:sz="0" w:space="0" w:color="auto"/>
          </w:divBdr>
        </w:div>
        <w:div w:id="357241220">
          <w:marLeft w:val="0"/>
          <w:marRight w:val="0"/>
          <w:marTop w:val="0"/>
          <w:marBottom w:val="0"/>
          <w:divBdr>
            <w:top w:val="none" w:sz="0" w:space="0" w:color="auto"/>
            <w:left w:val="none" w:sz="0" w:space="0" w:color="auto"/>
            <w:bottom w:val="none" w:sz="0" w:space="0" w:color="auto"/>
            <w:right w:val="none" w:sz="0" w:space="0" w:color="auto"/>
          </w:divBdr>
        </w:div>
        <w:div w:id="357241221">
          <w:marLeft w:val="0"/>
          <w:marRight w:val="0"/>
          <w:marTop w:val="0"/>
          <w:marBottom w:val="0"/>
          <w:divBdr>
            <w:top w:val="none" w:sz="0" w:space="0" w:color="auto"/>
            <w:left w:val="none" w:sz="0" w:space="0" w:color="auto"/>
            <w:bottom w:val="none" w:sz="0" w:space="0" w:color="auto"/>
            <w:right w:val="none" w:sz="0" w:space="0" w:color="auto"/>
          </w:divBdr>
        </w:div>
        <w:div w:id="357241222">
          <w:marLeft w:val="0"/>
          <w:marRight w:val="0"/>
          <w:marTop w:val="0"/>
          <w:marBottom w:val="0"/>
          <w:divBdr>
            <w:top w:val="none" w:sz="0" w:space="0" w:color="auto"/>
            <w:left w:val="none" w:sz="0" w:space="0" w:color="auto"/>
            <w:bottom w:val="none" w:sz="0" w:space="0" w:color="auto"/>
            <w:right w:val="none" w:sz="0" w:space="0" w:color="auto"/>
          </w:divBdr>
        </w:div>
        <w:div w:id="357241223">
          <w:marLeft w:val="0"/>
          <w:marRight w:val="0"/>
          <w:marTop w:val="0"/>
          <w:marBottom w:val="0"/>
          <w:divBdr>
            <w:top w:val="none" w:sz="0" w:space="0" w:color="auto"/>
            <w:left w:val="none" w:sz="0" w:space="0" w:color="auto"/>
            <w:bottom w:val="none" w:sz="0" w:space="0" w:color="auto"/>
            <w:right w:val="none" w:sz="0" w:space="0" w:color="auto"/>
          </w:divBdr>
        </w:div>
        <w:div w:id="357241224">
          <w:marLeft w:val="0"/>
          <w:marRight w:val="0"/>
          <w:marTop w:val="0"/>
          <w:marBottom w:val="0"/>
          <w:divBdr>
            <w:top w:val="none" w:sz="0" w:space="0" w:color="auto"/>
            <w:left w:val="none" w:sz="0" w:space="0" w:color="auto"/>
            <w:bottom w:val="none" w:sz="0" w:space="0" w:color="auto"/>
            <w:right w:val="none" w:sz="0" w:space="0" w:color="auto"/>
          </w:divBdr>
        </w:div>
        <w:div w:id="357241225">
          <w:marLeft w:val="0"/>
          <w:marRight w:val="0"/>
          <w:marTop w:val="0"/>
          <w:marBottom w:val="0"/>
          <w:divBdr>
            <w:top w:val="none" w:sz="0" w:space="0" w:color="auto"/>
            <w:left w:val="none" w:sz="0" w:space="0" w:color="auto"/>
            <w:bottom w:val="none" w:sz="0" w:space="0" w:color="auto"/>
            <w:right w:val="none" w:sz="0" w:space="0" w:color="auto"/>
          </w:divBdr>
        </w:div>
        <w:div w:id="357241226">
          <w:marLeft w:val="0"/>
          <w:marRight w:val="0"/>
          <w:marTop w:val="0"/>
          <w:marBottom w:val="0"/>
          <w:divBdr>
            <w:top w:val="none" w:sz="0" w:space="0" w:color="auto"/>
            <w:left w:val="none" w:sz="0" w:space="0" w:color="auto"/>
            <w:bottom w:val="none" w:sz="0" w:space="0" w:color="auto"/>
            <w:right w:val="none" w:sz="0" w:space="0" w:color="auto"/>
          </w:divBdr>
        </w:div>
        <w:div w:id="357241227">
          <w:marLeft w:val="0"/>
          <w:marRight w:val="0"/>
          <w:marTop w:val="0"/>
          <w:marBottom w:val="0"/>
          <w:divBdr>
            <w:top w:val="none" w:sz="0" w:space="0" w:color="auto"/>
            <w:left w:val="none" w:sz="0" w:space="0" w:color="auto"/>
            <w:bottom w:val="none" w:sz="0" w:space="0" w:color="auto"/>
            <w:right w:val="none" w:sz="0" w:space="0" w:color="auto"/>
          </w:divBdr>
        </w:div>
        <w:div w:id="357241228">
          <w:marLeft w:val="0"/>
          <w:marRight w:val="0"/>
          <w:marTop w:val="0"/>
          <w:marBottom w:val="0"/>
          <w:divBdr>
            <w:top w:val="none" w:sz="0" w:space="0" w:color="auto"/>
            <w:left w:val="none" w:sz="0" w:space="0" w:color="auto"/>
            <w:bottom w:val="none" w:sz="0" w:space="0" w:color="auto"/>
            <w:right w:val="none" w:sz="0" w:space="0" w:color="auto"/>
          </w:divBdr>
        </w:div>
        <w:div w:id="357241229">
          <w:marLeft w:val="0"/>
          <w:marRight w:val="0"/>
          <w:marTop w:val="0"/>
          <w:marBottom w:val="0"/>
          <w:divBdr>
            <w:top w:val="none" w:sz="0" w:space="0" w:color="auto"/>
            <w:left w:val="none" w:sz="0" w:space="0" w:color="auto"/>
            <w:bottom w:val="none" w:sz="0" w:space="0" w:color="auto"/>
            <w:right w:val="none" w:sz="0" w:space="0" w:color="auto"/>
          </w:divBdr>
        </w:div>
        <w:div w:id="357241230">
          <w:marLeft w:val="0"/>
          <w:marRight w:val="0"/>
          <w:marTop w:val="0"/>
          <w:marBottom w:val="0"/>
          <w:divBdr>
            <w:top w:val="none" w:sz="0" w:space="0" w:color="auto"/>
            <w:left w:val="none" w:sz="0" w:space="0" w:color="auto"/>
            <w:bottom w:val="none" w:sz="0" w:space="0" w:color="auto"/>
            <w:right w:val="none" w:sz="0" w:space="0" w:color="auto"/>
          </w:divBdr>
        </w:div>
        <w:div w:id="357241231">
          <w:marLeft w:val="0"/>
          <w:marRight w:val="0"/>
          <w:marTop w:val="0"/>
          <w:marBottom w:val="0"/>
          <w:divBdr>
            <w:top w:val="none" w:sz="0" w:space="0" w:color="auto"/>
            <w:left w:val="none" w:sz="0" w:space="0" w:color="auto"/>
            <w:bottom w:val="none" w:sz="0" w:space="0" w:color="auto"/>
            <w:right w:val="none" w:sz="0" w:space="0" w:color="auto"/>
          </w:divBdr>
        </w:div>
        <w:div w:id="357241232">
          <w:marLeft w:val="0"/>
          <w:marRight w:val="0"/>
          <w:marTop w:val="0"/>
          <w:marBottom w:val="0"/>
          <w:divBdr>
            <w:top w:val="none" w:sz="0" w:space="0" w:color="auto"/>
            <w:left w:val="none" w:sz="0" w:space="0" w:color="auto"/>
            <w:bottom w:val="none" w:sz="0" w:space="0" w:color="auto"/>
            <w:right w:val="none" w:sz="0" w:space="0" w:color="auto"/>
          </w:divBdr>
        </w:div>
        <w:div w:id="357241234">
          <w:marLeft w:val="0"/>
          <w:marRight w:val="0"/>
          <w:marTop w:val="0"/>
          <w:marBottom w:val="0"/>
          <w:divBdr>
            <w:top w:val="none" w:sz="0" w:space="0" w:color="auto"/>
            <w:left w:val="none" w:sz="0" w:space="0" w:color="auto"/>
            <w:bottom w:val="none" w:sz="0" w:space="0" w:color="auto"/>
            <w:right w:val="none" w:sz="0" w:space="0" w:color="auto"/>
          </w:divBdr>
        </w:div>
        <w:div w:id="357241235">
          <w:marLeft w:val="0"/>
          <w:marRight w:val="0"/>
          <w:marTop w:val="0"/>
          <w:marBottom w:val="0"/>
          <w:divBdr>
            <w:top w:val="none" w:sz="0" w:space="0" w:color="auto"/>
            <w:left w:val="none" w:sz="0" w:space="0" w:color="auto"/>
            <w:bottom w:val="none" w:sz="0" w:space="0" w:color="auto"/>
            <w:right w:val="none" w:sz="0" w:space="0" w:color="auto"/>
          </w:divBdr>
        </w:div>
        <w:div w:id="357241236">
          <w:marLeft w:val="0"/>
          <w:marRight w:val="0"/>
          <w:marTop w:val="0"/>
          <w:marBottom w:val="0"/>
          <w:divBdr>
            <w:top w:val="none" w:sz="0" w:space="0" w:color="auto"/>
            <w:left w:val="none" w:sz="0" w:space="0" w:color="auto"/>
            <w:bottom w:val="none" w:sz="0" w:space="0" w:color="auto"/>
            <w:right w:val="none" w:sz="0" w:space="0" w:color="auto"/>
          </w:divBdr>
        </w:div>
        <w:div w:id="357241237">
          <w:marLeft w:val="0"/>
          <w:marRight w:val="0"/>
          <w:marTop w:val="0"/>
          <w:marBottom w:val="0"/>
          <w:divBdr>
            <w:top w:val="none" w:sz="0" w:space="0" w:color="auto"/>
            <w:left w:val="none" w:sz="0" w:space="0" w:color="auto"/>
            <w:bottom w:val="none" w:sz="0" w:space="0" w:color="auto"/>
            <w:right w:val="none" w:sz="0" w:space="0" w:color="auto"/>
          </w:divBdr>
        </w:div>
        <w:div w:id="357241238">
          <w:marLeft w:val="0"/>
          <w:marRight w:val="0"/>
          <w:marTop w:val="0"/>
          <w:marBottom w:val="0"/>
          <w:divBdr>
            <w:top w:val="none" w:sz="0" w:space="0" w:color="auto"/>
            <w:left w:val="none" w:sz="0" w:space="0" w:color="auto"/>
            <w:bottom w:val="none" w:sz="0" w:space="0" w:color="auto"/>
            <w:right w:val="none" w:sz="0" w:space="0" w:color="auto"/>
          </w:divBdr>
        </w:div>
        <w:div w:id="357241239">
          <w:marLeft w:val="0"/>
          <w:marRight w:val="0"/>
          <w:marTop w:val="0"/>
          <w:marBottom w:val="0"/>
          <w:divBdr>
            <w:top w:val="none" w:sz="0" w:space="0" w:color="auto"/>
            <w:left w:val="none" w:sz="0" w:space="0" w:color="auto"/>
            <w:bottom w:val="none" w:sz="0" w:space="0" w:color="auto"/>
            <w:right w:val="none" w:sz="0" w:space="0" w:color="auto"/>
          </w:divBdr>
        </w:div>
        <w:div w:id="357241240">
          <w:marLeft w:val="0"/>
          <w:marRight w:val="0"/>
          <w:marTop w:val="0"/>
          <w:marBottom w:val="0"/>
          <w:divBdr>
            <w:top w:val="none" w:sz="0" w:space="0" w:color="auto"/>
            <w:left w:val="none" w:sz="0" w:space="0" w:color="auto"/>
            <w:bottom w:val="none" w:sz="0" w:space="0" w:color="auto"/>
            <w:right w:val="none" w:sz="0" w:space="0" w:color="auto"/>
          </w:divBdr>
        </w:div>
        <w:div w:id="357241241">
          <w:marLeft w:val="0"/>
          <w:marRight w:val="0"/>
          <w:marTop w:val="0"/>
          <w:marBottom w:val="0"/>
          <w:divBdr>
            <w:top w:val="none" w:sz="0" w:space="0" w:color="auto"/>
            <w:left w:val="none" w:sz="0" w:space="0" w:color="auto"/>
            <w:bottom w:val="none" w:sz="0" w:space="0" w:color="auto"/>
            <w:right w:val="none" w:sz="0" w:space="0" w:color="auto"/>
          </w:divBdr>
        </w:div>
        <w:div w:id="357241242">
          <w:marLeft w:val="0"/>
          <w:marRight w:val="0"/>
          <w:marTop w:val="0"/>
          <w:marBottom w:val="0"/>
          <w:divBdr>
            <w:top w:val="none" w:sz="0" w:space="0" w:color="auto"/>
            <w:left w:val="none" w:sz="0" w:space="0" w:color="auto"/>
            <w:bottom w:val="none" w:sz="0" w:space="0" w:color="auto"/>
            <w:right w:val="none" w:sz="0" w:space="0" w:color="auto"/>
          </w:divBdr>
        </w:div>
        <w:div w:id="357241243">
          <w:marLeft w:val="0"/>
          <w:marRight w:val="0"/>
          <w:marTop w:val="0"/>
          <w:marBottom w:val="0"/>
          <w:divBdr>
            <w:top w:val="none" w:sz="0" w:space="0" w:color="auto"/>
            <w:left w:val="none" w:sz="0" w:space="0" w:color="auto"/>
            <w:bottom w:val="none" w:sz="0" w:space="0" w:color="auto"/>
            <w:right w:val="none" w:sz="0" w:space="0" w:color="auto"/>
          </w:divBdr>
        </w:div>
        <w:div w:id="357241244">
          <w:marLeft w:val="0"/>
          <w:marRight w:val="0"/>
          <w:marTop w:val="0"/>
          <w:marBottom w:val="0"/>
          <w:divBdr>
            <w:top w:val="none" w:sz="0" w:space="0" w:color="auto"/>
            <w:left w:val="none" w:sz="0" w:space="0" w:color="auto"/>
            <w:bottom w:val="none" w:sz="0" w:space="0" w:color="auto"/>
            <w:right w:val="none" w:sz="0" w:space="0" w:color="auto"/>
          </w:divBdr>
        </w:div>
        <w:div w:id="357241245">
          <w:marLeft w:val="0"/>
          <w:marRight w:val="0"/>
          <w:marTop w:val="0"/>
          <w:marBottom w:val="0"/>
          <w:divBdr>
            <w:top w:val="none" w:sz="0" w:space="0" w:color="auto"/>
            <w:left w:val="none" w:sz="0" w:space="0" w:color="auto"/>
            <w:bottom w:val="none" w:sz="0" w:space="0" w:color="auto"/>
            <w:right w:val="none" w:sz="0" w:space="0" w:color="auto"/>
          </w:divBdr>
        </w:div>
        <w:div w:id="357241246">
          <w:marLeft w:val="0"/>
          <w:marRight w:val="0"/>
          <w:marTop w:val="0"/>
          <w:marBottom w:val="0"/>
          <w:divBdr>
            <w:top w:val="none" w:sz="0" w:space="0" w:color="auto"/>
            <w:left w:val="none" w:sz="0" w:space="0" w:color="auto"/>
            <w:bottom w:val="none" w:sz="0" w:space="0" w:color="auto"/>
            <w:right w:val="none" w:sz="0" w:space="0" w:color="auto"/>
          </w:divBdr>
        </w:div>
        <w:div w:id="357241247">
          <w:marLeft w:val="0"/>
          <w:marRight w:val="0"/>
          <w:marTop w:val="0"/>
          <w:marBottom w:val="0"/>
          <w:divBdr>
            <w:top w:val="none" w:sz="0" w:space="0" w:color="auto"/>
            <w:left w:val="none" w:sz="0" w:space="0" w:color="auto"/>
            <w:bottom w:val="none" w:sz="0" w:space="0" w:color="auto"/>
            <w:right w:val="none" w:sz="0" w:space="0" w:color="auto"/>
          </w:divBdr>
        </w:div>
        <w:div w:id="357241248">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357241250">
          <w:marLeft w:val="0"/>
          <w:marRight w:val="0"/>
          <w:marTop w:val="0"/>
          <w:marBottom w:val="0"/>
          <w:divBdr>
            <w:top w:val="none" w:sz="0" w:space="0" w:color="auto"/>
            <w:left w:val="none" w:sz="0" w:space="0" w:color="auto"/>
            <w:bottom w:val="none" w:sz="0" w:space="0" w:color="auto"/>
            <w:right w:val="none" w:sz="0" w:space="0" w:color="auto"/>
          </w:divBdr>
        </w:div>
        <w:div w:id="357241251">
          <w:marLeft w:val="0"/>
          <w:marRight w:val="0"/>
          <w:marTop w:val="0"/>
          <w:marBottom w:val="0"/>
          <w:divBdr>
            <w:top w:val="none" w:sz="0" w:space="0" w:color="auto"/>
            <w:left w:val="none" w:sz="0" w:space="0" w:color="auto"/>
            <w:bottom w:val="none" w:sz="0" w:space="0" w:color="auto"/>
            <w:right w:val="none" w:sz="0" w:space="0" w:color="auto"/>
          </w:divBdr>
        </w:div>
        <w:div w:id="357241253">
          <w:marLeft w:val="0"/>
          <w:marRight w:val="0"/>
          <w:marTop w:val="0"/>
          <w:marBottom w:val="0"/>
          <w:divBdr>
            <w:top w:val="none" w:sz="0" w:space="0" w:color="auto"/>
            <w:left w:val="none" w:sz="0" w:space="0" w:color="auto"/>
            <w:bottom w:val="none" w:sz="0" w:space="0" w:color="auto"/>
            <w:right w:val="none" w:sz="0" w:space="0" w:color="auto"/>
          </w:divBdr>
        </w:div>
        <w:div w:id="357241254">
          <w:marLeft w:val="0"/>
          <w:marRight w:val="0"/>
          <w:marTop w:val="0"/>
          <w:marBottom w:val="0"/>
          <w:divBdr>
            <w:top w:val="none" w:sz="0" w:space="0" w:color="auto"/>
            <w:left w:val="none" w:sz="0" w:space="0" w:color="auto"/>
            <w:bottom w:val="none" w:sz="0" w:space="0" w:color="auto"/>
            <w:right w:val="none" w:sz="0" w:space="0" w:color="auto"/>
          </w:divBdr>
        </w:div>
        <w:div w:id="357241256">
          <w:marLeft w:val="0"/>
          <w:marRight w:val="0"/>
          <w:marTop w:val="0"/>
          <w:marBottom w:val="0"/>
          <w:divBdr>
            <w:top w:val="none" w:sz="0" w:space="0" w:color="auto"/>
            <w:left w:val="none" w:sz="0" w:space="0" w:color="auto"/>
            <w:bottom w:val="none" w:sz="0" w:space="0" w:color="auto"/>
            <w:right w:val="none" w:sz="0" w:space="0" w:color="auto"/>
          </w:divBdr>
        </w:div>
        <w:div w:id="357241257">
          <w:marLeft w:val="0"/>
          <w:marRight w:val="0"/>
          <w:marTop w:val="0"/>
          <w:marBottom w:val="0"/>
          <w:divBdr>
            <w:top w:val="none" w:sz="0" w:space="0" w:color="auto"/>
            <w:left w:val="none" w:sz="0" w:space="0" w:color="auto"/>
            <w:bottom w:val="none" w:sz="0" w:space="0" w:color="auto"/>
            <w:right w:val="none" w:sz="0" w:space="0" w:color="auto"/>
          </w:divBdr>
        </w:div>
        <w:div w:id="357241258">
          <w:marLeft w:val="0"/>
          <w:marRight w:val="0"/>
          <w:marTop w:val="0"/>
          <w:marBottom w:val="0"/>
          <w:divBdr>
            <w:top w:val="none" w:sz="0" w:space="0" w:color="auto"/>
            <w:left w:val="none" w:sz="0" w:space="0" w:color="auto"/>
            <w:bottom w:val="none" w:sz="0" w:space="0" w:color="auto"/>
            <w:right w:val="none" w:sz="0" w:space="0" w:color="auto"/>
          </w:divBdr>
        </w:div>
        <w:div w:id="357241259">
          <w:marLeft w:val="0"/>
          <w:marRight w:val="0"/>
          <w:marTop w:val="0"/>
          <w:marBottom w:val="0"/>
          <w:divBdr>
            <w:top w:val="none" w:sz="0" w:space="0" w:color="auto"/>
            <w:left w:val="none" w:sz="0" w:space="0" w:color="auto"/>
            <w:bottom w:val="none" w:sz="0" w:space="0" w:color="auto"/>
            <w:right w:val="none" w:sz="0" w:space="0" w:color="auto"/>
          </w:divBdr>
        </w:div>
        <w:div w:id="357241260">
          <w:marLeft w:val="0"/>
          <w:marRight w:val="0"/>
          <w:marTop w:val="0"/>
          <w:marBottom w:val="0"/>
          <w:divBdr>
            <w:top w:val="none" w:sz="0" w:space="0" w:color="auto"/>
            <w:left w:val="none" w:sz="0" w:space="0" w:color="auto"/>
            <w:bottom w:val="none" w:sz="0" w:space="0" w:color="auto"/>
            <w:right w:val="none" w:sz="0" w:space="0" w:color="auto"/>
          </w:divBdr>
        </w:div>
        <w:div w:id="357241261">
          <w:marLeft w:val="0"/>
          <w:marRight w:val="0"/>
          <w:marTop w:val="0"/>
          <w:marBottom w:val="0"/>
          <w:divBdr>
            <w:top w:val="none" w:sz="0" w:space="0" w:color="auto"/>
            <w:left w:val="none" w:sz="0" w:space="0" w:color="auto"/>
            <w:bottom w:val="none" w:sz="0" w:space="0" w:color="auto"/>
            <w:right w:val="none" w:sz="0" w:space="0" w:color="auto"/>
          </w:divBdr>
        </w:div>
        <w:div w:id="357241262">
          <w:marLeft w:val="0"/>
          <w:marRight w:val="0"/>
          <w:marTop w:val="0"/>
          <w:marBottom w:val="0"/>
          <w:divBdr>
            <w:top w:val="none" w:sz="0" w:space="0" w:color="auto"/>
            <w:left w:val="none" w:sz="0" w:space="0" w:color="auto"/>
            <w:bottom w:val="none" w:sz="0" w:space="0" w:color="auto"/>
            <w:right w:val="none" w:sz="0" w:space="0" w:color="auto"/>
          </w:divBdr>
        </w:div>
        <w:div w:id="357241263">
          <w:marLeft w:val="0"/>
          <w:marRight w:val="0"/>
          <w:marTop w:val="0"/>
          <w:marBottom w:val="0"/>
          <w:divBdr>
            <w:top w:val="none" w:sz="0" w:space="0" w:color="auto"/>
            <w:left w:val="none" w:sz="0" w:space="0" w:color="auto"/>
            <w:bottom w:val="none" w:sz="0" w:space="0" w:color="auto"/>
            <w:right w:val="none" w:sz="0" w:space="0" w:color="auto"/>
          </w:divBdr>
        </w:div>
        <w:div w:id="357241264">
          <w:marLeft w:val="0"/>
          <w:marRight w:val="0"/>
          <w:marTop w:val="0"/>
          <w:marBottom w:val="0"/>
          <w:divBdr>
            <w:top w:val="none" w:sz="0" w:space="0" w:color="auto"/>
            <w:left w:val="none" w:sz="0" w:space="0" w:color="auto"/>
            <w:bottom w:val="none" w:sz="0" w:space="0" w:color="auto"/>
            <w:right w:val="none" w:sz="0" w:space="0" w:color="auto"/>
          </w:divBdr>
        </w:div>
        <w:div w:id="357241265">
          <w:marLeft w:val="0"/>
          <w:marRight w:val="0"/>
          <w:marTop w:val="0"/>
          <w:marBottom w:val="0"/>
          <w:divBdr>
            <w:top w:val="none" w:sz="0" w:space="0" w:color="auto"/>
            <w:left w:val="none" w:sz="0" w:space="0" w:color="auto"/>
            <w:bottom w:val="none" w:sz="0" w:space="0" w:color="auto"/>
            <w:right w:val="none" w:sz="0" w:space="0" w:color="auto"/>
          </w:divBdr>
        </w:div>
        <w:div w:id="357241266">
          <w:marLeft w:val="0"/>
          <w:marRight w:val="0"/>
          <w:marTop w:val="0"/>
          <w:marBottom w:val="0"/>
          <w:divBdr>
            <w:top w:val="none" w:sz="0" w:space="0" w:color="auto"/>
            <w:left w:val="none" w:sz="0" w:space="0" w:color="auto"/>
            <w:bottom w:val="none" w:sz="0" w:space="0" w:color="auto"/>
            <w:right w:val="none" w:sz="0" w:space="0" w:color="auto"/>
          </w:divBdr>
        </w:div>
        <w:div w:id="357241267">
          <w:marLeft w:val="0"/>
          <w:marRight w:val="0"/>
          <w:marTop w:val="0"/>
          <w:marBottom w:val="0"/>
          <w:divBdr>
            <w:top w:val="none" w:sz="0" w:space="0" w:color="auto"/>
            <w:left w:val="none" w:sz="0" w:space="0" w:color="auto"/>
            <w:bottom w:val="none" w:sz="0" w:space="0" w:color="auto"/>
            <w:right w:val="none" w:sz="0" w:space="0" w:color="auto"/>
          </w:divBdr>
        </w:div>
        <w:div w:id="357241268">
          <w:marLeft w:val="0"/>
          <w:marRight w:val="0"/>
          <w:marTop w:val="0"/>
          <w:marBottom w:val="0"/>
          <w:divBdr>
            <w:top w:val="none" w:sz="0" w:space="0" w:color="auto"/>
            <w:left w:val="none" w:sz="0" w:space="0" w:color="auto"/>
            <w:bottom w:val="none" w:sz="0" w:space="0" w:color="auto"/>
            <w:right w:val="none" w:sz="0" w:space="0" w:color="auto"/>
          </w:divBdr>
        </w:div>
        <w:div w:id="357241269">
          <w:marLeft w:val="0"/>
          <w:marRight w:val="0"/>
          <w:marTop w:val="0"/>
          <w:marBottom w:val="0"/>
          <w:divBdr>
            <w:top w:val="none" w:sz="0" w:space="0" w:color="auto"/>
            <w:left w:val="none" w:sz="0" w:space="0" w:color="auto"/>
            <w:bottom w:val="none" w:sz="0" w:space="0" w:color="auto"/>
            <w:right w:val="none" w:sz="0" w:space="0" w:color="auto"/>
          </w:divBdr>
        </w:div>
        <w:div w:id="357241270">
          <w:marLeft w:val="0"/>
          <w:marRight w:val="0"/>
          <w:marTop w:val="0"/>
          <w:marBottom w:val="0"/>
          <w:divBdr>
            <w:top w:val="none" w:sz="0" w:space="0" w:color="auto"/>
            <w:left w:val="none" w:sz="0" w:space="0" w:color="auto"/>
            <w:bottom w:val="none" w:sz="0" w:space="0" w:color="auto"/>
            <w:right w:val="none" w:sz="0" w:space="0" w:color="auto"/>
          </w:divBdr>
        </w:div>
        <w:div w:id="357241271">
          <w:marLeft w:val="0"/>
          <w:marRight w:val="0"/>
          <w:marTop w:val="0"/>
          <w:marBottom w:val="0"/>
          <w:divBdr>
            <w:top w:val="none" w:sz="0" w:space="0" w:color="auto"/>
            <w:left w:val="none" w:sz="0" w:space="0" w:color="auto"/>
            <w:bottom w:val="none" w:sz="0" w:space="0" w:color="auto"/>
            <w:right w:val="none" w:sz="0" w:space="0" w:color="auto"/>
          </w:divBdr>
        </w:div>
        <w:div w:id="357241272">
          <w:marLeft w:val="0"/>
          <w:marRight w:val="0"/>
          <w:marTop w:val="0"/>
          <w:marBottom w:val="0"/>
          <w:divBdr>
            <w:top w:val="none" w:sz="0" w:space="0" w:color="auto"/>
            <w:left w:val="none" w:sz="0" w:space="0" w:color="auto"/>
            <w:bottom w:val="none" w:sz="0" w:space="0" w:color="auto"/>
            <w:right w:val="none" w:sz="0" w:space="0" w:color="auto"/>
          </w:divBdr>
        </w:div>
        <w:div w:id="357241273">
          <w:marLeft w:val="0"/>
          <w:marRight w:val="0"/>
          <w:marTop w:val="0"/>
          <w:marBottom w:val="0"/>
          <w:divBdr>
            <w:top w:val="none" w:sz="0" w:space="0" w:color="auto"/>
            <w:left w:val="none" w:sz="0" w:space="0" w:color="auto"/>
            <w:bottom w:val="none" w:sz="0" w:space="0" w:color="auto"/>
            <w:right w:val="none" w:sz="0" w:space="0" w:color="auto"/>
          </w:divBdr>
        </w:div>
        <w:div w:id="357241274">
          <w:marLeft w:val="0"/>
          <w:marRight w:val="0"/>
          <w:marTop w:val="0"/>
          <w:marBottom w:val="0"/>
          <w:divBdr>
            <w:top w:val="none" w:sz="0" w:space="0" w:color="auto"/>
            <w:left w:val="none" w:sz="0" w:space="0" w:color="auto"/>
            <w:bottom w:val="none" w:sz="0" w:space="0" w:color="auto"/>
            <w:right w:val="none" w:sz="0" w:space="0" w:color="auto"/>
          </w:divBdr>
        </w:div>
        <w:div w:id="357241275">
          <w:marLeft w:val="0"/>
          <w:marRight w:val="0"/>
          <w:marTop w:val="0"/>
          <w:marBottom w:val="0"/>
          <w:divBdr>
            <w:top w:val="none" w:sz="0" w:space="0" w:color="auto"/>
            <w:left w:val="none" w:sz="0" w:space="0" w:color="auto"/>
            <w:bottom w:val="none" w:sz="0" w:space="0" w:color="auto"/>
            <w:right w:val="none" w:sz="0" w:space="0" w:color="auto"/>
          </w:divBdr>
        </w:div>
        <w:div w:id="357241276">
          <w:marLeft w:val="0"/>
          <w:marRight w:val="0"/>
          <w:marTop w:val="0"/>
          <w:marBottom w:val="0"/>
          <w:divBdr>
            <w:top w:val="none" w:sz="0" w:space="0" w:color="auto"/>
            <w:left w:val="none" w:sz="0" w:space="0" w:color="auto"/>
            <w:bottom w:val="none" w:sz="0" w:space="0" w:color="auto"/>
            <w:right w:val="none" w:sz="0" w:space="0" w:color="auto"/>
          </w:divBdr>
        </w:div>
        <w:div w:id="357241277">
          <w:marLeft w:val="0"/>
          <w:marRight w:val="0"/>
          <w:marTop w:val="0"/>
          <w:marBottom w:val="0"/>
          <w:divBdr>
            <w:top w:val="none" w:sz="0" w:space="0" w:color="auto"/>
            <w:left w:val="none" w:sz="0" w:space="0" w:color="auto"/>
            <w:bottom w:val="none" w:sz="0" w:space="0" w:color="auto"/>
            <w:right w:val="none" w:sz="0" w:space="0" w:color="auto"/>
          </w:divBdr>
        </w:div>
        <w:div w:id="357241278">
          <w:marLeft w:val="0"/>
          <w:marRight w:val="0"/>
          <w:marTop w:val="0"/>
          <w:marBottom w:val="0"/>
          <w:divBdr>
            <w:top w:val="none" w:sz="0" w:space="0" w:color="auto"/>
            <w:left w:val="none" w:sz="0" w:space="0" w:color="auto"/>
            <w:bottom w:val="none" w:sz="0" w:space="0" w:color="auto"/>
            <w:right w:val="none" w:sz="0" w:space="0" w:color="auto"/>
          </w:divBdr>
        </w:div>
        <w:div w:id="357241279">
          <w:marLeft w:val="0"/>
          <w:marRight w:val="0"/>
          <w:marTop w:val="0"/>
          <w:marBottom w:val="0"/>
          <w:divBdr>
            <w:top w:val="none" w:sz="0" w:space="0" w:color="auto"/>
            <w:left w:val="none" w:sz="0" w:space="0" w:color="auto"/>
            <w:bottom w:val="none" w:sz="0" w:space="0" w:color="auto"/>
            <w:right w:val="none" w:sz="0" w:space="0" w:color="auto"/>
          </w:divBdr>
        </w:div>
        <w:div w:id="357241280">
          <w:marLeft w:val="0"/>
          <w:marRight w:val="0"/>
          <w:marTop w:val="0"/>
          <w:marBottom w:val="0"/>
          <w:divBdr>
            <w:top w:val="none" w:sz="0" w:space="0" w:color="auto"/>
            <w:left w:val="none" w:sz="0" w:space="0" w:color="auto"/>
            <w:bottom w:val="none" w:sz="0" w:space="0" w:color="auto"/>
            <w:right w:val="none" w:sz="0" w:space="0" w:color="auto"/>
          </w:divBdr>
        </w:div>
        <w:div w:id="357241281">
          <w:marLeft w:val="0"/>
          <w:marRight w:val="0"/>
          <w:marTop w:val="0"/>
          <w:marBottom w:val="0"/>
          <w:divBdr>
            <w:top w:val="none" w:sz="0" w:space="0" w:color="auto"/>
            <w:left w:val="none" w:sz="0" w:space="0" w:color="auto"/>
            <w:bottom w:val="none" w:sz="0" w:space="0" w:color="auto"/>
            <w:right w:val="none" w:sz="0" w:space="0" w:color="auto"/>
          </w:divBdr>
        </w:div>
        <w:div w:id="357241282">
          <w:marLeft w:val="0"/>
          <w:marRight w:val="0"/>
          <w:marTop w:val="0"/>
          <w:marBottom w:val="0"/>
          <w:divBdr>
            <w:top w:val="none" w:sz="0" w:space="0" w:color="auto"/>
            <w:left w:val="none" w:sz="0" w:space="0" w:color="auto"/>
            <w:bottom w:val="none" w:sz="0" w:space="0" w:color="auto"/>
            <w:right w:val="none" w:sz="0" w:space="0" w:color="auto"/>
          </w:divBdr>
        </w:div>
        <w:div w:id="357241283">
          <w:marLeft w:val="0"/>
          <w:marRight w:val="0"/>
          <w:marTop w:val="0"/>
          <w:marBottom w:val="0"/>
          <w:divBdr>
            <w:top w:val="none" w:sz="0" w:space="0" w:color="auto"/>
            <w:left w:val="none" w:sz="0" w:space="0" w:color="auto"/>
            <w:bottom w:val="none" w:sz="0" w:space="0" w:color="auto"/>
            <w:right w:val="none" w:sz="0" w:space="0" w:color="auto"/>
          </w:divBdr>
        </w:div>
        <w:div w:id="357241284">
          <w:marLeft w:val="0"/>
          <w:marRight w:val="0"/>
          <w:marTop w:val="0"/>
          <w:marBottom w:val="0"/>
          <w:divBdr>
            <w:top w:val="none" w:sz="0" w:space="0" w:color="auto"/>
            <w:left w:val="none" w:sz="0" w:space="0" w:color="auto"/>
            <w:bottom w:val="none" w:sz="0" w:space="0" w:color="auto"/>
            <w:right w:val="none" w:sz="0" w:space="0" w:color="auto"/>
          </w:divBdr>
        </w:div>
        <w:div w:id="357241285">
          <w:marLeft w:val="0"/>
          <w:marRight w:val="0"/>
          <w:marTop w:val="0"/>
          <w:marBottom w:val="0"/>
          <w:divBdr>
            <w:top w:val="none" w:sz="0" w:space="0" w:color="auto"/>
            <w:left w:val="none" w:sz="0" w:space="0" w:color="auto"/>
            <w:bottom w:val="none" w:sz="0" w:space="0" w:color="auto"/>
            <w:right w:val="none" w:sz="0" w:space="0" w:color="auto"/>
          </w:divBdr>
        </w:div>
        <w:div w:id="357241286">
          <w:marLeft w:val="0"/>
          <w:marRight w:val="0"/>
          <w:marTop w:val="0"/>
          <w:marBottom w:val="0"/>
          <w:divBdr>
            <w:top w:val="none" w:sz="0" w:space="0" w:color="auto"/>
            <w:left w:val="none" w:sz="0" w:space="0" w:color="auto"/>
            <w:bottom w:val="none" w:sz="0" w:space="0" w:color="auto"/>
            <w:right w:val="none" w:sz="0" w:space="0" w:color="auto"/>
          </w:divBdr>
        </w:div>
        <w:div w:id="357241287">
          <w:marLeft w:val="0"/>
          <w:marRight w:val="0"/>
          <w:marTop w:val="0"/>
          <w:marBottom w:val="0"/>
          <w:divBdr>
            <w:top w:val="none" w:sz="0" w:space="0" w:color="auto"/>
            <w:left w:val="none" w:sz="0" w:space="0" w:color="auto"/>
            <w:bottom w:val="none" w:sz="0" w:space="0" w:color="auto"/>
            <w:right w:val="none" w:sz="0" w:space="0" w:color="auto"/>
          </w:divBdr>
        </w:div>
        <w:div w:id="357241288">
          <w:marLeft w:val="0"/>
          <w:marRight w:val="0"/>
          <w:marTop w:val="0"/>
          <w:marBottom w:val="0"/>
          <w:divBdr>
            <w:top w:val="none" w:sz="0" w:space="0" w:color="auto"/>
            <w:left w:val="none" w:sz="0" w:space="0" w:color="auto"/>
            <w:bottom w:val="none" w:sz="0" w:space="0" w:color="auto"/>
            <w:right w:val="none" w:sz="0" w:space="0" w:color="auto"/>
          </w:divBdr>
        </w:div>
        <w:div w:id="357241289">
          <w:marLeft w:val="0"/>
          <w:marRight w:val="0"/>
          <w:marTop w:val="0"/>
          <w:marBottom w:val="0"/>
          <w:divBdr>
            <w:top w:val="none" w:sz="0" w:space="0" w:color="auto"/>
            <w:left w:val="none" w:sz="0" w:space="0" w:color="auto"/>
            <w:bottom w:val="none" w:sz="0" w:space="0" w:color="auto"/>
            <w:right w:val="none" w:sz="0" w:space="0" w:color="auto"/>
          </w:divBdr>
        </w:div>
        <w:div w:id="357241290">
          <w:marLeft w:val="0"/>
          <w:marRight w:val="0"/>
          <w:marTop w:val="0"/>
          <w:marBottom w:val="0"/>
          <w:divBdr>
            <w:top w:val="none" w:sz="0" w:space="0" w:color="auto"/>
            <w:left w:val="none" w:sz="0" w:space="0" w:color="auto"/>
            <w:bottom w:val="none" w:sz="0" w:space="0" w:color="auto"/>
            <w:right w:val="none" w:sz="0" w:space="0" w:color="auto"/>
          </w:divBdr>
        </w:div>
        <w:div w:id="357241291">
          <w:marLeft w:val="0"/>
          <w:marRight w:val="0"/>
          <w:marTop w:val="0"/>
          <w:marBottom w:val="0"/>
          <w:divBdr>
            <w:top w:val="none" w:sz="0" w:space="0" w:color="auto"/>
            <w:left w:val="none" w:sz="0" w:space="0" w:color="auto"/>
            <w:bottom w:val="none" w:sz="0" w:space="0" w:color="auto"/>
            <w:right w:val="none" w:sz="0" w:space="0" w:color="auto"/>
          </w:divBdr>
        </w:div>
        <w:div w:id="357241292">
          <w:marLeft w:val="0"/>
          <w:marRight w:val="0"/>
          <w:marTop w:val="0"/>
          <w:marBottom w:val="0"/>
          <w:divBdr>
            <w:top w:val="none" w:sz="0" w:space="0" w:color="auto"/>
            <w:left w:val="none" w:sz="0" w:space="0" w:color="auto"/>
            <w:bottom w:val="none" w:sz="0" w:space="0" w:color="auto"/>
            <w:right w:val="none" w:sz="0" w:space="0" w:color="auto"/>
          </w:divBdr>
        </w:div>
        <w:div w:id="357241293">
          <w:marLeft w:val="0"/>
          <w:marRight w:val="0"/>
          <w:marTop w:val="0"/>
          <w:marBottom w:val="0"/>
          <w:divBdr>
            <w:top w:val="none" w:sz="0" w:space="0" w:color="auto"/>
            <w:left w:val="none" w:sz="0" w:space="0" w:color="auto"/>
            <w:bottom w:val="none" w:sz="0" w:space="0" w:color="auto"/>
            <w:right w:val="none" w:sz="0" w:space="0" w:color="auto"/>
          </w:divBdr>
        </w:div>
        <w:div w:id="357241294">
          <w:marLeft w:val="0"/>
          <w:marRight w:val="0"/>
          <w:marTop w:val="0"/>
          <w:marBottom w:val="0"/>
          <w:divBdr>
            <w:top w:val="none" w:sz="0" w:space="0" w:color="auto"/>
            <w:left w:val="none" w:sz="0" w:space="0" w:color="auto"/>
            <w:bottom w:val="none" w:sz="0" w:space="0" w:color="auto"/>
            <w:right w:val="none" w:sz="0" w:space="0" w:color="auto"/>
          </w:divBdr>
        </w:div>
        <w:div w:id="357241295">
          <w:marLeft w:val="0"/>
          <w:marRight w:val="0"/>
          <w:marTop w:val="0"/>
          <w:marBottom w:val="0"/>
          <w:divBdr>
            <w:top w:val="none" w:sz="0" w:space="0" w:color="auto"/>
            <w:left w:val="none" w:sz="0" w:space="0" w:color="auto"/>
            <w:bottom w:val="none" w:sz="0" w:space="0" w:color="auto"/>
            <w:right w:val="none" w:sz="0" w:space="0" w:color="auto"/>
          </w:divBdr>
        </w:div>
        <w:div w:id="357241296">
          <w:marLeft w:val="0"/>
          <w:marRight w:val="0"/>
          <w:marTop w:val="0"/>
          <w:marBottom w:val="0"/>
          <w:divBdr>
            <w:top w:val="none" w:sz="0" w:space="0" w:color="auto"/>
            <w:left w:val="none" w:sz="0" w:space="0" w:color="auto"/>
            <w:bottom w:val="none" w:sz="0" w:space="0" w:color="auto"/>
            <w:right w:val="none" w:sz="0" w:space="0" w:color="auto"/>
          </w:divBdr>
        </w:div>
        <w:div w:id="357241297">
          <w:marLeft w:val="0"/>
          <w:marRight w:val="0"/>
          <w:marTop w:val="0"/>
          <w:marBottom w:val="0"/>
          <w:divBdr>
            <w:top w:val="none" w:sz="0" w:space="0" w:color="auto"/>
            <w:left w:val="none" w:sz="0" w:space="0" w:color="auto"/>
            <w:bottom w:val="none" w:sz="0" w:space="0" w:color="auto"/>
            <w:right w:val="none" w:sz="0" w:space="0" w:color="auto"/>
          </w:divBdr>
        </w:div>
        <w:div w:id="357241298">
          <w:marLeft w:val="0"/>
          <w:marRight w:val="0"/>
          <w:marTop w:val="0"/>
          <w:marBottom w:val="0"/>
          <w:divBdr>
            <w:top w:val="none" w:sz="0" w:space="0" w:color="auto"/>
            <w:left w:val="none" w:sz="0" w:space="0" w:color="auto"/>
            <w:bottom w:val="none" w:sz="0" w:space="0" w:color="auto"/>
            <w:right w:val="none" w:sz="0" w:space="0" w:color="auto"/>
          </w:divBdr>
        </w:div>
        <w:div w:id="357241299">
          <w:marLeft w:val="0"/>
          <w:marRight w:val="0"/>
          <w:marTop w:val="0"/>
          <w:marBottom w:val="0"/>
          <w:divBdr>
            <w:top w:val="none" w:sz="0" w:space="0" w:color="auto"/>
            <w:left w:val="none" w:sz="0" w:space="0" w:color="auto"/>
            <w:bottom w:val="none" w:sz="0" w:space="0" w:color="auto"/>
            <w:right w:val="none" w:sz="0" w:space="0" w:color="auto"/>
          </w:divBdr>
        </w:div>
        <w:div w:id="357241300">
          <w:marLeft w:val="0"/>
          <w:marRight w:val="0"/>
          <w:marTop w:val="0"/>
          <w:marBottom w:val="0"/>
          <w:divBdr>
            <w:top w:val="none" w:sz="0" w:space="0" w:color="auto"/>
            <w:left w:val="none" w:sz="0" w:space="0" w:color="auto"/>
            <w:bottom w:val="none" w:sz="0" w:space="0" w:color="auto"/>
            <w:right w:val="none" w:sz="0" w:space="0" w:color="auto"/>
          </w:divBdr>
        </w:div>
        <w:div w:id="357241301">
          <w:marLeft w:val="0"/>
          <w:marRight w:val="0"/>
          <w:marTop w:val="0"/>
          <w:marBottom w:val="0"/>
          <w:divBdr>
            <w:top w:val="none" w:sz="0" w:space="0" w:color="auto"/>
            <w:left w:val="none" w:sz="0" w:space="0" w:color="auto"/>
            <w:bottom w:val="none" w:sz="0" w:space="0" w:color="auto"/>
            <w:right w:val="none" w:sz="0" w:space="0" w:color="auto"/>
          </w:divBdr>
        </w:div>
        <w:div w:id="357241302">
          <w:marLeft w:val="0"/>
          <w:marRight w:val="0"/>
          <w:marTop w:val="0"/>
          <w:marBottom w:val="0"/>
          <w:divBdr>
            <w:top w:val="none" w:sz="0" w:space="0" w:color="auto"/>
            <w:left w:val="none" w:sz="0" w:space="0" w:color="auto"/>
            <w:bottom w:val="none" w:sz="0" w:space="0" w:color="auto"/>
            <w:right w:val="none" w:sz="0" w:space="0" w:color="auto"/>
          </w:divBdr>
        </w:div>
        <w:div w:id="357241304">
          <w:marLeft w:val="0"/>
          <w:marRight w:val="0"/>
          <w:marTop w:val="0"/>
          <w:marBottom w:val="0"/>
          <w:divBdr>
            <w:top w:val="none" w:sz="0" w:space="0" w:color="auto"/>
            <w:left w:val="none" w:sz="0" w:space="0" w:color="auto"/>
            <w:bottom w:val="none" w:sz="0" w:space="0" w:color="auto"/>
            <w:right w:val="none" w:sz="0" w:space="0" w:color="auto"/>
          </w:divBdr>
        </w:div>
        <w:div w:id="357241305">
          <w:marLeft w:val="0"/>
          <w:marRight w:val="0"/>
          <w:marTop w:val="0"/>
          <w:marBottom w:val="0"/>
          <w:divBdr>
            <w:top w:val="none" w:sz="0" w:space="0" w:color="auto"/>
            <w:left w:val="none" w:sz="0" w:space="0" w:color="auto"/>
            <w:bottom w:val="none" w:sz="0" w:space="0" w:color="auto"/>
            <w:right w:val="none" w:sz="0" w:space="0" w:color="auto"/>
          </w:divBdr>
        </w:div>
        <w:div w:id="357241306">
          <w:marLeft w:val="0"/>
          <w:marRight w:val="0"/>
          <w:marTop w:val="0"/>
          <w:marBottom w:val="0"/>
          <w:divBdr>
            <w:top w:val="none" w:sz="0" w:space="0" w:color="auto"/>
            <w:left w:val="none" w:sz="0" w:space="0" w:color="auto"/>
            <w:bottom w:val="none" w:sz="0" w:space="0" w:color="auto"/>
            <w:right w:val="none" w:sz="0" w:space="0" w:color="auto"/>
          </w:divBdr>
        </w:div>
        <w:div w:id="357241307">
          <w:marLeft w:val="0"/>
          <w:marRight w:val="0"/>
          <w:marTop w:val="0"/>
          <w:marBottom w:val="0"/>
          <w:divBdr>
            <w:top w:val="none" w:sz="0" w:space="0" w:color="auto"/>
            <w:left w:val="none" w:sz="0" w:space="0" w:color="auto"/>
            <w:bottom w:val="none" w:sz="0" w:space="0" w:color="auto"/>
            <w:right w:val="none" w:sz="0" w:space="0" w:color="auto"/>
          </w:divBdr>
        </w:div>
        <w:div w:id="357241308">
          <w:marLeft w:val="0"/>
          <w:marRight w:val="0"/>
          <w:marTop w:val="0"/>
          <w:marBottom w:val="0"/>
          <w:divBdr>
            <w:top w:val="none" w:sz="0" w:space="0" w:color="auto"/>
            <w:left w:val="none" w:sz="0" w:space="0" w:color="auto"/>
            <w:bottom w:val="none" w:sz="0" w:space="0" w:color="auto"/>
            <w:right w:val="none" w:sz="0" w:space="0" w:color="auto"/>
          </w:divBdr>
        </w:div>
        <w:div w:id="357241309">
          <w:marLeft w:val="0"/>
          <w:marRight w:val="0"/>
          <w:marTop w:val="0"/>
          <w:marBottom w:val="0"/>
          <w:divBdr>
            <w:top w:val="none" w:sz="0" w:space="0" w:color="auto"/>
            <w:left w:val="none" w:sz="0" w:space="0" w:color="auto"/>
            <w:bottom w:val="none" w:sz="0" w:space="0" w:color="auto"/>
            <w:right w:val="none" w:sz="0" w:space="0" w:color="auto"/>
          </w:divBdr>
        </w:div>
        <w:div w:id="357241310">
          <w:marLeft w:val="0"/>
          <w:marRight w:val="0"/>
          <w:marTop w:val="0"/>
          <w:marBottom w:val="0"/>
          <w:divBdr>
            <w:top w:val="none" w:sz="0" w:space="0" w:color="auto"/>
            <w:left w:val="none" w:sz="0" w:space="0" w:color="auto"/>
            <w:bottom w:val="none" w:sz="0" w:space="0" w:color="auto"/>
            <w:right w:val="none" w:sz="0" w:space="0" w:color="auto"/>
          </w:divBdr>
        </w:div>
        <w:div w:id="357241311">
          <w:marLeft w:val="0"/>
          <w:marRight w:val="0"/>
          <w:marTop w:val="0"/>
          <w:marBottom w:val="0"/>
          <w:divBdr>
            <w:top w:val="none" w:sz="0" w:space="0" w:color="auto"/>
            <w:left w:val="none" w:sz="0" w:space="0" w:color="auto"/>
            <w:bottom w:val="none" w:sz="0" w:space="0" w:color="auto"/>
            <w:right w:val="none" w:sz="0" w:space="0" w:color="auto"/>
          </w:divBdr>
        </w:div>
        <w:div w:id="357241312">
          <w:marLeft w:val="0"/>
          <w:marRight w:val="0"/>
          <w:marTop w:val="0"/>
          <w:marBottom w:val="0"/>
          <w:divBdr>
            <w:top w:val="none" w:sz="0" w:space="0" w:color="auto"/>
            <w:left w:val="none" w:sz="0" w:space="0" w:color="auto"/>
            <w:bottom w:val="none" w:sz="0" w:space="0" w:color="auto"/>
            <w:right w:val="none" w:sz="0" w:space="0" w:color="auto"/>
          </w:divBdr>
        </w:div>
        <w:div w:id="357241313">
          <w:marLeft w:val="0"/>
          <w:marRight w:val="0"/>
          <w:marTop w:val="0"/>
          <w:marBottom w:val="0"/>
          <w:divBdr>
            <w:top w:val="none" w:sz="0" w:space="0" w:color="auto"/>
            <w:left w:val="none" w:sz="0" w:space="0" w:color="auto"/>
            <w:bottom w:val="none" w:sz="0" w:space="0" w:color="auto"/>
            <w:right w:val="none" w:sz="0" w:space="0" w:color="auto"/>
          </w:divBdr>
        </w:div>
        <w:div w:id="357241314">
          <w:marLeft w:val="0"/>
          <w:marRight w:val="0"/>
          <w:marTop w:val="0"/>
          <w:marBottom w:val="0"/>
          <w:divBdr>
            <w:top w:val="none" w:sz="0" w:space="0" w:color="auto"/>
            <w:left w:val="none" w:sz="0" w:space="0" w:color="auto"/>
            <w:bottom w:val="none" w:sz="0" w:space="0" w:color="auto"/>
            <w:right w:val="none" w:sz="0" w:space="0" w:color="auto"/>
          </w:divBdr>
        </w:div>
        <w:div w:id="357241315">
          <w:marLeft w:val="0"/>
          <w:marRight w:val="0"/>
          <w:marTop w:val="0"/>
          <w:marBottom w:val="0"/>
          <w:divBdr>
            <w:top w:val="none" w:sz="0" w:space="0" w:color="auto"/>
            <w:left w:val="none" w:sz="0" w:space="0" w:color="auto"/>
            <w:bottom w:val="none" w:sz="0" w:space="0" w:color="auto"/>
            <w:right w:val="none" w:sz="0" w:space="0" w:color="auto"/>
          </w:divBdr>
        </w:div>
        <w:div w:id="357241316">
          <w:marLeft w:val="0"/>
          <w:marRight w:val="0"/>
          <w:marTop w:val="0"/>
          <w:marBottom w:val="0"/>
          <w:divBdr>
            <w:top w:val="none" w:sz="0" w:space="0" w:color="auto"/>
            <w:left w:val="none" w:sz="0" w:space="0" w:color="auto"/>
            <w:bottom w:val="none" w:sz="0" w:space="0" w:color="auto"/>
            <w:right w:val="none" w:sz="0" w:space="0" w:color="auto"/>
          </w:divBdr>
        </w:div>
        <w:div w:id="357241317">
          <w:marLeft w:val="0"/>
          <w:marRight w:val="0"/>
          <w:marTop w:val="0"/>
          <w:marBottom w:val="0"/>
          <w:divBdr>
            <w:top w:val="none" w:sz="0" w:space="0" w:color="auto"/>
            <w:left w:val="none" w:sz="0" w:space="0" w:color="auto"/>
            <w:bottom w:val="none" w:sz="0" w:space="0" w:color="auto"/>
            <w:right w:val="none" w:sz="0" w:space="0" w:color="auto"/>
          </w:divBdr>
        </w:div>
        <w:div w:id="357241318">
          <w:marLeft w:val="0"/>
          <w:marRight w:val="0"/>
          <w:marTop w:val="0"/>
          <w:marBottom w:val="0"/>
          <w:divBdr>
            <w:top w:val="none" w:sz="0" w:space="0" w:color="auto"/>
            <w:left w:val="none" w:sz="0" w:space="0" w:color="auto"/>
            <w:bottom w:val="none" w:sz="0" w:space="0" w:color="auto"/>
            <w:right w:val="none" w:sz="0" w:space="0" w:color="auto"/>
          </w:divBdr>
        </w:div>
        <w:div w:id="357241319">
          <w:marLeft w:val="0"/>
          <w:marRight w:val="0"/>
          <w:marTop w:val="0"/>
          <w:marBottom w:val="0"/>
          <w:divBdr>
            <w:top w:val="none" w:sz="0" w:space="0" w:color="auto"/>
            <w:left w:val="none" w:sz="0" w:space="0" w:color="auto"/>
            <w:bottom w:val="none" w:sz="0" w:space="0" w:color="auto"/>
            <w:right w:val="none" w:sz="0" w:space="0" w:color="auto"/>
          </w:divBdr>
        </w:div>
        <w:div w:id="357241320">
          <w:marLeft w:val="0"/>
          <w:marRight w:val="0"/>
          <w:marTop w:val="0"/>
          <w:marBottom w:val="0"/>
          <w:divBdr>
            <w:top w:val="none" w:sz="0" w:space="0" w:color="auto"/>
            <w:left w:val="none" w:sz="0" w:space="0" w:color="auto"/>
            <w:bottom w:val="none" w:sz="0" w:space="0" w:color="auto"/>
            <w:right w:val="none" w:sz="0" w:space="0" w:color="auto"/>
          </w:divBdr>
        </w:div>
        <w:div w:id="357241321">
          <w:marLeft w:val="0"/>
          <w:marRight w:val="0"/>
          <w:marTop w:val="0"/>
          <w:marBottom w:val="0"/>
          <w:divBdr>
            <w:top w:val="none" w:sz="0" w:space="0" w:color="auto"/>
            <w:left w:val="none" w:sz="0" w:space="0" w:color="auto"/>
            <w:bottom w:val="none" w:sz="0" w:space="0" w:color="auto"/>
            <w:right w:val="none" w:sz="0" w:space="0" w:color="auto"/>
          </w:divBdr>
        </w:div>
        <w:div w:id="357241322">
          <w:marLeft w:val="0"/>
          <w:marRight w:val="0"/>
          <w:marTop w:val="0"/>
          <w:marBottom w:val="0"/>
          <w:divBdr>
            <w:top w:val="none" w:sz="0" w:space="0" w:color="auto"/>
            <w:left w:val="none" w:sz="0" w:space="0" w:color="auto"/>
            <w:bottom w:val="none" w:sz="0" w:space="0" w:color="auto"/>
            <w:right w:val="none" w:sz="0" w:space="0" w:color="auto"/>
          </w:divBdr>
        </w:div>
        <w:div w:id="357241323">
          <w:marLeft w:val="0"/>
          <w:marRight w:val="0"/>
          <w:marTop w:val="0"/>
          <w:marBottom w:val="0"/>
          <w:divBdr>
            <w:top w:val="none" w:sz="0" w:space="0" w:color="auto"/>
            <w:left w:val="none" w:sz="0" w:space="0" w:color="auto"/>
            <w:bottom w:val="none" w:sz="0" w:space="0" w:color="auto"/>
            <w:right w:val="none" w:sz="0" w:space="0" w:color="auto"/>
          </w:divBdr>
        </w:div>
        <w:div w:id="357241324">
          <w:marLeft w:val="0"/>
          <w:marRight w:val="0"/>
          <w:marTop w:val="0"/>
          <w:marBottom w:val="0"/>
          <w:divBdr>
            <w:top w:val="none" w:sz="0" w:space="0" w:color="auto"/>
            <w:left w:val="none" w:sz="0" w:space="0" w:color="auto"/>
            <w:bottom w:val="none" w:sz="0" w:space="0" w:color="auto"/>
            <w:right w:val="none" w:sz="0" w:space="0" w:color="auto"/>
          </w:divBdr>
        </w:div>
        <w:div w:id="357241325">
          <w:marLeft w:val="0"/>
          <w:marRight w:val="0"/>
          <w:marTop w:val="0"/>
          <w:marBottom w:val="0"/>
          <w:divBdr>
            <w:top w:val="none" w:sz="0" w:space="0" w:color="auto"/>
            <w:left w:val="none" w:sz="0" w:space="0" w:color="auto"/>
            <w:bottom w:val="none" w:sz="0" w:space="0" w:color="auto"/>
            <w:right w:val="none" w:sz="0" w:space="0" w:color="auto"/>
          </w:divBdr>
        </w:div>
        <w:div w:id="357241326">
          <w:marLeft w:val="0"/>
          <w:marRight w:val="0"/>
          <w:marTop w:val="0"/>
          <w:marBottom w:val="0"/>
          <w:divBdr>
            <w:top w:val="none" w:sz="0" w:space="0" w:color="auto"/>
            <w:left w:val="none" w:sz="0" w:space="0" w:color="auto"/>
            <w:bottom w:val="none" w:sz="0" w:space="0" w:color="auto"/>
            <w:right w:val="none" w:sz="0" w:space="0" w:color="auto"/>
          </w:divBdr>
        </w:div>
        <w:div w:id="357241327">
          <w:marLeft w:val="0"/>
          <w:marRight w:val="0"/>
          <w:marTop w:val="0"/>
          <w:marBottom w:val="0"/>
          <w:divBdr>
            <w:top w:val="none" w:sz="0" w:space="0" w:color="auto"/>
            <w:left w:val="none" w:sz="0" w:space="0" w:color="auto"/>
            <w:bottom w:val="none" w:sz="0" w:space="0" w:color="auto"/>
            <w:right w:val="none" w:sz="0" w:space="0" w:color="auto"/>
          </w:divBdr>
        </w:div>
        <w:div w:id="357241328">
          <w:marLeft w:val="0"/>
          <w:marRight w:val="0"/>
          <w:marTop w:val="0"/>
          <w:marBottom w:val="0"/>
          <w:divBdr>
            <w:top w:val="none" w:sz="0" w:space="0" w:color="auto"/>
            <w:left w:val="none" w:sz="0" w:space="0" w:color="auto"/>
            <w:bottom w:val="none" w:sz="0" w:space="0" w:color="auto"/>
            <w:right w:val="none" w:sz="0" w:space="0" w:color="auto"/>
          </w:divBdr>
        </w:div>
        <w:div w:id="357241329">
          <w:marLeft w:val="0"/>
          <w:marRight w:val="0"/>
          <w:marTop w:val="0"/>
          <w:marBottom w:val="0"/>
          <w:divBdr>
            <w:top w:val="none" w:sz="0" w:space="0" w:color="auto"/>
            <w:left w:val="none" w:sz="0" w:space="0" w:color="auto"/>
            <w:bottom w:val="none" w:sz="0" w:space="0" w:color="auto"/>
            <w:right w:val="none" w:sz="0" w:space="0" w:color="auto"/>
          </w:divBdr>
        </w:div>
        <w:div w:id="357241330">
          <w:marLeft w:val="0"/>
          <w:marRight w:val="0"/>
          <w:marTop w:val="0"/>
          <w:marBottom w:val="0"/>
          <w:divBdr>
            <w:top w:val="none" w:sz="0" w:space="0" w:color="auto"/>
            <w:left w:val="none" w:sz="0" w:space="0" w:color="auto"/>
            <w:bottom w:val="none" w:sz="0" w:space="0" w:color="auto"/>
            <w:right w:val="none" w:sz="0" w:space="0" w:color="auto"/>
          </w:divBdr>
        </w:div>
        <w:div w:id="357241331">
          <w:marLeft w:val="0"/>
          <w:marRight w:val="0"/>
          <w:marTop w:val="0"/>
          <w:marBottom w:val="0"/>
          <w:divBdr>
            <w:top w:val="none" w:sz="0" w:space="0" w:color="auto"/>
            <w:left w:val="none" w:sz="0" w:space="0" w:color="auto"/>
            <w:bottom w:val="none" w:sz="0" w:space="0" w:color="auto"/>
            <w:right w:val="none" w:sz="0" w:space="0" w:color="auto"/>
          </w:divBdr>
        </w:div>
        <w:div w:id="357241332">
          <w:marLeft w:val="0"/>
          <w:marRight w:val="0"/>
          <w:marTop w:val="0"/>
          <w:marBottom w:val="0"/>
          <w:divBdr>
            <w:top w:val="none" w:sz="0" w:space="0" w:color="auto"/>
            <w:left w:val="none" w:sz="0" w:space="0" w:color="auto"/>
            <w:bottom w:val="none" w:sz="0" w:space="0" w:color="auto"/>
            <w:right w:val="none" w:sz="0" w:space="0" w:color="auto"/>
          </w:divBdr>
        </w:div>
        <w:div w:id="357241333">
          <w:marLeft w:val="0"/>
          <w:marRight w:val="0"/>
          <w:marTop w:val="0"/>
          <w:marBottom w:val="0"/>
          <w:divBdr>
            <w:top w:val="none" w:sz="0" w:space="0" w:color="auto"/>
            <w:left w:val="none" w:sz="0" w:space="0" w:color="auto"/>
            <w:bottom w:val="none" w:sz="0" w:space="0" w:color="auto"/>
            <w:right w:val="none" w:sz="0" w:space="0" w:color="auto"/>
          </w:divBdr>
        </w:div>
        <w:div w:id="357241334">
          <w:marLeft w:val="0"/>
          <w:marRight w:val="0"/>
          <w:marTop w:val="0"/>
          <w:marBottom w:val="0"/>
          <w:divBdr>
            <w:top w:val="none" w:sz="0" w:space="0" w:color="auto"/>
            <w:left w:val="none" w:sz="0" w:space="0" w:color="auto"/>
            <w:bottom w:val="none" w:sz="0" w:space="0" w:color="auto"/>
            <w:right w:val="none" w:sz="0" w:space="0" w:color="auto"/>
          </w:divBdr>
        </w:div>
        <w:div w:id="357241335">
          <w:marLeft w:val="0"/>
          <w:marRight w:val="0"/>
          <w:marTop w:val="0"/>
          <w:marBottom w:val="0"/>
          <w:divBdr>
            <w:top w:val="none" w:sz="0" w:space="0" w:color="auto"/>
            <w:left w:val="none" w:sz="0" w:space="0" w:color="auto"/>
            <w:bottom w:val="none" w:sz="0" w:space="0" w:color="auto"/>
            <w:right w:val="none" w:sz="0" w:space="0" w:color="auto"/>
          </w:divBdr>
        </w:div>
        <w:div w:id="357241336">
          <w:marLeft w:val="0"/>
          <w:marRight w:val="0"/>
          <w:marTop w:val="0"/>
          <w:marBottom w:val="0"/>
          <w:divBdr>
            <w:top w:val="none" w:sz="0" w:space="0" w:color="auto"/>
            <w:left w:val="none" w:sz="0" w:space="0" w:color="auto"/>
            <w:bottom w:val="none" w:sz="0" w:space="0" w:color="auto"/>
            <w:right w:val="none" w:sz="0" w:space="0" w:color="auto"/>
          </w:divBdr>
        </w:div>
        <w:div w:id="357241337">
          <w:marLeft w:val="0"/>
          <w:marRight w:val="0"/>
          <w:marTop w:val="0"/>
          <w:marBottom w:val="0"/>
          <w:divBdr>
            <w:top w:val="none" w:sz="0" w:space="0" w:color="auto"/>
            <w:left w:val="none" w:sz="0" w:space="0" w:color="auto"/>
            <w:bottom w:val="none" w:sz="0" w:space="0" w:color="auto"/>
            <w:right w:val="none" w:sz="0" w:space="0" w:color="auto"/>
          </w:divBdr>
        </w:div>
        <w:div w:id="357241338">
          <w:marLeft w:val="0"/>
          <w:marRight w:val="0"/>
          <w:marTop w:val="0"/>
          <w:marBottom w:val="0"/>
          <w:divBdr>
            <w:top w:val="none" w:sz="0" w:space="0" w:color="auto"/>
            <w:left w:val="none" w:sz="0" w:space="0" w:color="auto"/>
            <w:bottom w:val="none" w:sz="0" w:space="0" w:color="auto"/>
            <w:right w:val="none" w:sz="0" w:space="0" w:color="auto"/>
          </w:divBdr>
        </w:div>
        <w:div w:id="357241339">
          <w:marLeft w:val="0"/>
          <w:marRight w:val="0"/>
          <w:marTop w:val="0"/>
          <w:marBottom w:val="0"/>
          <w:divBdr>
            <w:top w:val="none" w:sz="0" w:space="0" w:color="auto"/>
            <w:left w:val="none" w:sz="0" w:space="0" w:color="auto"/>
            <w:bottom w:val="none" w:sz="0" w:space="0" w:color="auto"/>
            <w:right w:val="none" w:sz="0" w:space="0" w:color="auto"/>
          </w:divBdr>
        </w:div>
        <w:div w:id="357241340">
          <w:marLeft w:val="0"/>
          <w:marRight w:val="0"/>
          <w:marTop w:val="0"/>
          <w:marBottom w:val="0"/>
          <w:divBdr>
            <w:top w:val="none" w:sz="0" w:space="0" w:color="auto"/>
            <w:left w:val="none" w:sz="0" w:space="0" w:color="auto"/>
            <w:bottom w:val="none" w:sz="0" w:space="0" w:color="auto"/>
            <w:right w:val="none" w:sz="0" w:space="0" w:color="auto"/>
          </w:divBdr>
        </w:div>
        <w:div w:id="357241341">
          <w:marLeft w:val="0"/>
          <w:marRight w:val="0"/>
          <w:marTop w:val="0"/>
          <w:marBottom w:val="0"/>
          <w:divBdr>
            <w:top w:val="none" w:sz="0" w:space="0" w:color="auto"/>
            <w:left w:val="none" w:sz="0" w:space="0" w:color="auto"/>
            <w:bottom w:val="none" w:sz="0" w:space="0" w:color="auto"/>
            <w:right w:val="none" w:sz="0" w:space="0" w:color="auto"/>
          </w:divBdr>
        </w:div>
        <w:div w:id="357241342">
          <w:marLeft w:val="0"/>
          <w:marRight w:val="0"/>
          <w:marTop w:val="0"/>
          <w:marBottom w:val="0"/>
          <w:divBdr>
            <w:top w:val="none" w:sz="0" w:space="0" w:color="auto"/>
            <w:left w:val="none" w:sz="0" w:space="0" w:color="auto"/>
            <w:bottom w:val="none" w:sz="0" w:space="0" w:color="auto"/>
            <w:right w:val="none" w:sz="0" w:space="0" w:color="auto"/>
          </w:divBdr>
        </w:div>
        <w:div w:id="357241343">
          <w:marLeft w:val="0"/>
          <w:marRight w:val="0"/>
          <w:marTop w:val="0"/>
          <w:marBottom w:val="0"/>
          <w:divBdr>
            <w:top w:val="none" w:sz="0" w:space="0" w:color="auto"/>
            <w:left w:val="none" w:sz="0" w:space="0" w:color="auto"/>
            <w:bottom w:val="none" w:sz="0" w:space="0" w:color="auto"/>
            <w:right w:val="none" w:sz="0" w:space="0" w:color="auto"/>
          </w:divBdr>
        </w:div>
      </w:divsChild>
    </w:div>
    <w:div w:id="357241303">
      <w:marLeft w:val="0"/>
      <w:marRight w:val="0"/>
      <w:marTop w:val="0"/>
      <w:marBottom w:val="0"/>
      <w:divBdr>
        <w:top w:val="none" w:sz="0" w:space="0" w:color="auto"/>
        <w:left w:val="none" w:sz="0" w:space="0" w:color="auto"/>
        <w:bottom w:val="none" w:sz="0" w:space="0" w:color="auto"/>
        <w:right w:val="none" w:sz="0" w:space="0" w:color="auto"/>
      </w:divBdr>
      <w:divsChild>
        <w:div w:id="357241233">
          <w:marLeft w:val="0"/>
          <w:marRight w:val="0"/>
          <w:marTop w:val="0"/>
          <w:marBottom w:val="0"/>
          <w:divBdr>
            <w:top w:val="none" w:sz="0" w:space="0" w:color="auto"/>
            <w:left w:val="none" w:sz="0" w:space="0" w:color="auto"/>
            <w:bottom w:val="none" w:sz="0" w:space="0" w:color="auto"/>
            <w:right w:val="none" w:sz="0" w:space="0" w:color="auto"/>
          </w:divBdr>
          <w:divsChild>
            <w:div w:id="3572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8707">
      <w:bodyDiv w:val="1"/>
      <w:marLeft w:val="0"/>
      <w:marRight w:val="0"/>
      <w:marTop w:val="0"/>
      <w:marBottom w:val="0"/>
      <w:divBdr>
        <w:top w:val="none" w:sz="0" w:space="0" w:color="auto"/>
        <w:left w:val="none" w:sz="0" w:space="0" w:color="auto"/>
        <w:bottom w:val="none" w:sz="0" w:space="0" w:color="auto"/>
        <w:right w:val="none" w:sz="0" w:space="0" w:color="auto"/>
      </w:divBdr>
    </w:div>
    <w:div w:id="425921976">
      <w:bodyDiv w:val="1"/>
      <w:marLeft w:val="0"/>
      <w:marRight w:val="0"/>
      <w:marTop w:val="0"/>
      <w:marBottom w:val="0"/>
      <w:divBdr>
        <w:top w:val="none" w:sz="0" w:space="0" w:color="auto"/>
        <w:left w:val="none" w:sz="0" w:space="0" w:color="auto"/>
        <w:bottom w:val="none" w:sz="0" w:space="0" w:color="auto"/>
        <w:right w:val="none" w:sz="0" w:space="0" w:color="auto"/>
      </w:divBdr>
    </w:div>
    <w:div w:id="684594660">
      <w:bodyDiv w:val="1"/>
      <w:marLeft w:val="0"/>
      <w:marRight w:val="0"/>
      <w:marTop w:val="0"/>
      <w:marBottom w:val="0"/>
      <w:divBdr>
        <w:top w:val="none" w:sz="0" w:space="0" w:color="auto"/>
        <w:left w:val="none" w:sz="0" w:space="0" w:color="auto"/>
        <w:bottom w:val="none" w:sz="0" w:space="0" w:color="auto"/>
        <w:right w:val="none" w:sz="0" w:space="0" w:color="auto"/>
      </w:divBdr>
    </w:div>
    <w:div w:id="754014010">
      <w:bodyDiv w:val="1"/>
      <w:marLeft w:val="0"/>
      <w:marRight w:val="0"/>
      <w:marTop w:val="0"/>
      <w:marBottom w:val="0"/>
      <w:divBdr>
        <w:top w:val="none" w:sz="0" w:space="0" w:color="auto"/>
        <w:left w:val="none" w:sz="0" w:space="0" w:color="auto"/>
        <w:bottom w:val="none" w:sz="0" w:space="0" w:color="auto"/>
        <w:right w:val="none" w:sz="0" w:space="0" w:color="auto"/>
      </w:divBdr>
    </w:div>
    <w:div w:id="892890561">
      <w:bodyDiv w:val="1"/>
      <w:marLeft w:val="0"/>
      <w:marRight w:val="0"/>
      <w:marTop w:val="0"/>
      <w:marBottom w:val="0"/>
      <w:divBdr>
        <w:top w:val="none" w:sz="0" w:space="0" w:color="auto"/>
        <w:left w:val="none" w:sz="0" w:space="0" w:color="auto"/>
        <w:bottom w:val="none" w:sz="0" w:space="0" w:color="auto"/>
        <w:right w:val="none" w:sz="0" w:space="0" w:color="auto"/>
      </w:divBdr>
    </w:div>
    <w:div w:id="1042436444">
      <w:bodyDiv w:val="1"/>
      <w:marLeft w:val="0"/>
      <w:marRight w:val="0"/>
      <w:marTop w:val="0"/>
      <w:marBottom w:val="0"/>
      <w:divBdr>
        <w:top w:val="none" w:sz="0" w:space="0" w:color="auto"/>
        <w:left w:val="none" w:sz="0" w:space="0" w:color="auto"/>
        <w:bottom w:val="none" w:sz="0" w:space="0" w:color="auto"/>
        <w:right w:val="none" w:sz="0" w:space="0" w:color="auto"/>
      </w:divBdr>
    </w:div>
    <w:div w:id="1317878905">
      <w:bodyDiv w:val="1"/>
      <w:marLeft w:val="0"/>
      <w:marRight w:val="0"/>
      <w:marTop w:val="0"/>
      <w:marBottom w:val="0"/>
      <w:divBdr>
        <w:top w:val="none" w:sz="0" w:space="0" w:color="auto"/>
        <w:left w:val="none" w:sz="0" w:space="0" w:color="auto"/>
        <w:bottom w:val="none" w:sz="0" w:space="0" w:color="auto"/>
        <w:right w:val="none" w:sz="0" w:space="0" w:color="auto"/>
      </w:divBdr>
    </w:div>
    <w:div w:id="1325663924">
      <w:bodyDiv w:val="1"/>
      <w:marLeft w:val="0"/>
      <w:marRight w:val="0"/>
      <w:marTop w:val="0"/>
      <w:marBottom w:val="0"/>
      <w:divBdr>
        <w:top w:val="none" w:sz="0" w:space="0" w:color="auto"/>
        <w:left w:val="none" w:sz="0" w:space="0" w:color="auto"/>
        <w:bottom w:val="none" w:sz="0" w:space="0" w:color="auto"/>
        <w:right w:val="none" w:sz="0" w:space="0" w:color="auto"/>
      </w:divBdr>
    </w:div>
    <w:div w:id="1486899894">
      <w:bodyDiv w:val="1"/>
      <w:marLeft w:val="0"/>
      <w:marRight w:val="0"/>
      <w:marTop w:val="0"/>
      <w:marBottom w:val="0"/>
      <w:divBdr>
        <w:top w:val="none" w:sz="0" w:space="0" w:color="auto"/>
        <w:left w:val="none" w:sz="0" w:space="0" w:color="auto"/>
        <w:bottom w:val="none" w:sz="0" w:space="0" w:color="auto"/>
        <w:right w:val="none" w:sz="0" w:space="0" w:color="auto"/>
      </w:divBdr>
    </w:div>
    <w:div w:id="1524131129">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865358127">
      <w:bodyDiv w:val="1"/>
      <w:marLeft w:val="0"/>
      <w:marRight w:val="0"/>
      <w:marTop w:val="0"/>
      <w:marBottom w:val="0"/>
      <w:divBdr>
        <w:top w:val="none" w:sz="0" w:space="0" w:color="auto"/>
        <w:left w:val="none" w:sz="0" w:space="0" w:color="auto"/>
        <w:bottom w:val="none" w:sz="0" w:space="0" w:color="auto"/>
        <w:right w:val="none" w:sz="0" w:space="0" w:color="auto"/>
      </w:divBdr>
    </w:div>
    <w:div w:id="1874034084">
      <w:bodyDiv w:val="1"/>
      <w:marLeft w:val="0"/>
      <w:marRight w:val="0"/>
      <w:marTop w:val="0"/>
      <w:marBottom w:val="0"/>
      <w:divBdr>
        <w:top w:val="none" w:sz="0" w:space="0" w:color="auto"/>
        <w:left w:val="none" w:sz="0" w:space="0" w:color="auto"/>
        <w:bottom w:val="none" w:sz="0" w:space="0" w:color="auto"/>
        <w:right w:val="none" w:sz="0" w:space="0" w:color="auto"/>
      </w:divBdr>
    </w:div>
    <w:div w:id="20012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E20EE6F793954B9EE7F4179B873D85" ma:contentTypeVersion="13" ma:contentTypeDescription="Create a new document." ma:contentTypeScope="" ma:versionID="6cc3794ca276e75a4549fdc08561698b">
  <xsd:schema xmlns:xsd="http://www.w3.org/2001/XMLSchema" xmlns:xs="http://www.w3.org/2001/XMLSchema" xmlns:p="http://schemas.microsoft.com/office/2006/metadata/properties" xmlns:ns3="08e3addf-c6e8-43a3-9c1e-5832e6b6e9d5" xmlns:ns4="a35deaae-22ac-40b7-89a8-ebf2438833e9" targetNamespace="http://schemas.microsoft.com/office/2006/metadata/properties" ma:root="true" ma:fieldsID="c5ff978af788e4e4664c2e6ac3b20e64" ns3:_="" ns4:_="">
    <xsd:import namespace="08e3addf-c6e8-43a3-9c1e-5832e6b6e9d5"/>
    <xsd:import namespace="a35deaae-22ac-40b7-89a8-ebf24388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addf-c6e8-43a3-9c1e-5832e6b6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deaae-22ac-40b7-89a8-ebf2438833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EE689-CAD6-4476-872C-29EB6B63A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AFB58-CBC6-4EF8-8467-90D6E8F3305A}">
  <ds:schemaRefs>
    <ds:schemaRef ds:uri="http://schemas.openxmlformats.org/officeDocument/2006/bibliography"/>
  </ds:schemaRefs>
</ds:datastoreItem>
</file>

<file path=customXml/itemProps3.xml><?xml version="1.0" encoding="utf-8"?>
<ds:datastoreItem xmlns:ds="http://schemas.openxmlformats.org/officeDocument/2006/customXml" ds:itemID="{B32D2697-8447-4601-9206-77E6FBE5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addf-c6e8-43a3-9c1e-5832e6b6e9d5"/>
    <ds:schemaRef ds:uri="a35deaae-22ac-40b7-89a8-ebf24388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DD0C6-F594-456D-A2AF-0EB54329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 UEB</vt:lpstr>
    </vt:vector>
  </TitlesOfParts>
  <Company>University of Birmingham</Company>
  <LinksUpToDate>false</LinksUpToDate>
  <CharactersWithSpaces>10271</CharactersWithSpaces>
  <SharedDoc>false</SharedDoc>
  <HLinks>
    <vt:vector size="24" baseType="variant">
      <vt:variant>
        <vt:i4>3866728</vt:i4>
      </vt:variant>
      <vt:variant>
        <vt:i4>9</vt:i4>
      </vt:variant>
      <vt:variant>
        <vt:i4>0</vt:i4>
      </vt:variant>
      <vt:variant>
        <vt:i4>5</vt:i4>
      </vt:variant>
      <vt:variant>
        <vt:lpwstr>https://www.birmingham.ac.uk/research/research-integrity/index.aspx</vt:lpwstr>
      </vt:variant>
      <vt:variant>
        <vt:lpwstr/>
      </vt:variant>
      <vt:variant>
        <vt:i4>1310735</vt:i4>
      </vt:variant>
      <vt:variant>
        <vt:i4>6</vt:i4>
      </vt:variant>
      <vt:variant>
        <vt:i4>0</vt:i4>
      </vt:variant>
      <vt:variant>
        <vt:i4>5</vt:i4>
      </vt:variant>
      <vt:variant>
        <vt:lpwstr>https://www.universitiesuk.ac.uk/topics/research-and-innovation/concordat-support-research-integrity</vt:lpwstr>
      </vt:variant>
      <vt:variant>
        <vt:lpwstr/>
      </vt:variant>
      <vt:variant>
        <vt:i4>3866728</vt:i4>
      </vt:variant>
      <vt:variant>
        <vt:i4>3</vt:i4>
      </vt:variant>
      <vt:variant>
        <vt:i4>0</vt:i4>
      </vt:variant>
      <vt:variant>
        <vt:i4>5</vt:i4>
      </vt:variant>
      <vt:variant>
        <vt:lpwstr>https://www.birmingham.ac.uk/research/research-integrity/index.aspx</vt:lpwstr>
      </vt:variant>
      <vt:variant>
        <vt:lpwstr/>
      </vt:variant>
      <vt:variant>
        <vt:i4>2490387</vt:i4>
      </vt:variant>
      <vt:variant>
        <vt:i4>0</vt:i4>
      </vt:variant>
      <vt:variant>
        <vt:i4>0</vt:i4>
      </vt:variant>
      <vt:variant>
        <vt:i4>5</vt:i4>
      </vt:variant>
      <vt:variant>
        <vt:lpwstr>mailto:B.Whitman@bham.ac.uk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UEB</dc:title>
  <dc:subject/>
  <dc:creator>Sean Jennings</dc:creator>
  <cp:keywords/>
  <cp:lastModifiedBy>Birgit Whitman (Research Strategy and Services Central)</cp:lastModifiedBy>
  <cp:revision>2</cp:revision>
  <cp:lastPrinted>2015-10-21T10:34:00Z</cp:lastPrinted>
  <dcterms:created xsi:type="dcterms:W3CDTF">2023-01-25T13:33:00Z</dcterms:created>
  <dcterms:modified xsi:type="dcterms:W3CDTF">2023-01-25T13:33:00Z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0x010100F4E20EE6F793954B9EE7F4179B873D85</vt:lpwstr>
  </property>
</Properties>
</file>