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EEF" w:rsidRPr="00652773" w:rsidRDefault="00CC1583" w:rsidP="00FD50EF">
      <w:pPr>
        <w:spacing w:after="0" w:line="240" w:lineRule="auto"/>
        <w:jc w:val="center"/>
        <w:rPr>
          <w:b/>
        </w:rPr>
      </w:pPr>
      <w:r w:rsidRPr="00652773">
        <w:rPr>
          <w:b/>
        </w:rPr>
        <w:t>BBSRC I</w:t>
      </w:r>
      <w:r w:rsidR="00031FC6">
        <w:rPr>
          <w:b/>
        </w:rPr>
        <w:t xml:space="preserve">mpact </w:t>
      </w:r>
      <w:r w:rsidRPr="00652773">
        <w:rPr>
          <w:b/>
        </w:rPr>
        <w:t>A</w:t>
      </w:r>
      <w:r w:rsidR="00031FC6">
        <w:rPr>
          <w:b/>
        </w:rPr>
        <w:t xml:space="preserve">cceleration </w:t>
      </w:r>
      <w:r w:rsidRPr="00652773">
        <w:rPr>
          <w:b/>
        </w:rPr>
        <w:t>A</w:t>
      </w:r>
      <w:r w:rsidR="00031FC6">
        <w:rPr>
          <w:b/>
        </w:rPr>
        <w:t>ward (IAA)</w:t>
      </w:r>
      <w:r w:rsidRPr="00652773">
        <w:rPr>
          <w:b/>
        </w:rPr>
        <w:t xml:space="preserve"> G</w:t>
      </w:r>
      <w:r w:rsidR="00247D6F" w:rsidRPr="00652773">
        <w:rPr>
          <w:b/>
        </w:rPr>
        <w:t>uideline</w:t>
      </w:r>
      <w:r w:rsidRPr="00652773">
        <w:rPr>
          <w:b/>
        </w:rPr>
        <w:t>s</w:t>
      </w:r>
    </w:p>
    <w:p w:rsidR="00031FC6" w:rsidRDefault="00031FC6" w:rsidP="00031FC6">
      <w:pPr>
        <w:spacing w:after="0" w:line="240" w:lineRule="auto"/>
      </w:pPr>
    </w:p>
    <w:p w:rsidR="00247D6F" w:rsidRPr="00247D6F" w:rsidRDefault="00247D6F" w:rsidP="00031FC6">
      <w:pPr>
        <w:spacing w:after="0" w:line="240" w:lineRule="auto"/>
      </w:pPr>
      <w:r>
        <w:t xml:space="preserve">The </w:t>
      </w:r>
      <w:r w:rsidR="00031FC6">
        <w:t>national</w:t>
      </w:r>
      <w:r>
        <w:t xml:space="preserve"> BBSRC </w:t>
      </w:r>
      <w:r w:rsidRPr="00247D6F">
        <w:t>IAA objectives</w:t>
      </w:r>
      <w:r>
        <w:t xml:space="preserve"> are as follows</w:t>
      </w:r>
      <w:r w:rsidRPr="00247D6F">
        <w:t>:</w:t>
      </w:r>
    </w:p>
    <w:p w:rsidR="00247D6F" w:rsidRPr="00247D6F" w:rsidRDefault="00247D6F" w:rsidP="00031FC6">
      <w:pPr>
        <w:pStyle w:val="ListParagraph"/>
        <w:numPr>
          <w:ilvl w:val="0"/>
          <w:numId w:val="2"/>
        </w:numPr>
        <w:spacing w:after="0" w:line="240" w:lineRule="auto"/>
      </w:pPr>
      <w:r w:rsidRPr="00247D6F">
        <w:t>strengthen user engagement</w:t>
      </w:r>
    </w:p>
    <w:p w:rsidR="00247D6F" w:rsidRPr="00247D6F" w:rsidRDefault="00247D6F" w:rsidP="00031FC6">
      <w:pPr>
        <w:pStyle w:val="ListParagraph"/>
        <w:numPr>
          <w:ilvl w:val="0"/>
          <w:numId w:val="2"/>
        </w:numPr>
        <w:spacing w:after="0" w:line="240" w:lineRule="auto"/>
      </w:pPr>
      <w:r w:rsidRPr="00247D6F">
        <w:t xml:space="preserve">strengthen the exchange of knowledge through culture and capability development, including through the development of skills for </w:t>
      </w:r>
      <w:r w:rsidR="00031FC6">
        <w:t>knowledge exchange</w:t>
      </w:r>
      <w:r w:rsidRPr="00247D6F">
        <w:t xml:space="preserve"> activity</w:t>
      </w:r>
    </w:p>
    <w:p w:rsidR="00247D6F" w:rsidRPr="00247D6F" w:rsidRDefault="00247D6F" w:rsidP="00031FC6">
      <w:pPr>
        <w:pStyle w:val="ListParagraph"/>
        <w:numPr>
          <w:ilvl w:val="0"/>
          <w:numId w:val="2"/>
        </w:numPr>
        <w:spacing w:after="0" w:line="240" w:lineRule="auto"/>
      </w:pPr>
      <w:r w:rsidRPr="00247D6F">
        <w:t>supporting knowledge exchange and commercialisation at early stages of progressing research outputs and outcomes to the point when they would be supported by other funding</w:t>
      </w:r>
    </w:p>
    <w:p w:rsidR="00247D6F" w:rsidRPr="00247D6F" w:rsidRDefault="00247D6F" w:rsidP="00031FC6">
      <w:pPr>
        <w:pStyle w:val="ListParagraph"/>
        <w:numPr>
          <w:ilvl w:val="0"/>
          <w:numId w:val="2"/>
        </w:numPr>
        <w:spacing w:after="0" w:line="240" w:lineRule="auto"/>
      </w:pPr>
      <w:r w:rsidRPr="00247D6F">
        <w:t>supporting new, innovative and imaginative approaches to KE and impact, including processes that enable "fast failure" and appropriate learning</w:t>
      </w:r>
    </w:p>
    <w:p w:rsidR="00247D6F" w:rsidRDefault="00247D6F" w:rsidP="00031FC6">
      <w:pPr>
        <w:pStyle w:val="ListParagraph"/>
        <w:numPr>
          <w:ilvl w:val="0"/>
          <w:numId w:val="2"/>
        </w:numPr>
        <w:spacing w:after="0" w:line="240" w:lineRule="auto"/>
      </w:pPr>
      <w:r w:rsidRPr="00247D6F">
        <w:t xml:space="preserve">supporting activities that enable impact to be achieved in an effective and timely manner, including </w:t>
      </w:r>
      <w:r w:rsidR="00B055A4">
        <w:t>secondments and people exchange</w:t>
      </w:r>
    </w:p>
    <w:p w:rsidR="00031FC6" w:rsidRDefault="00031FC6" w:rsidP="00031FC6">
      <w:pPr>
        <w:spacing w:after="0" w:line="240" w:lineRule="auto"/>
      </w:pPr>
    </w:p>
    <w:p w:rsidR="009648AE" w:rsidRDefault="00031FC6" w:rsidP="00031FC6">
      <w:pPr>
        <w:spacing w:after="0" w:line="240" w:lineRule="auto"/>
      </w:pPr>
      <w:r>
        <w:t>T</w:t>
      </w:r>
      <w:r w:rsidR="00CC1583">
        <w:t>he</w:t>
      </w:r>
      <w:r>
        <w:t xml:space="preserve"> specific</w:t>
      </w:r>
      <w:r w:rsidR="00CC1583">
        <w:t xml:space="preserve"> </w:t>
      </w:r>
      <w:r>
        <w:t>a</w:t>
      </w:r>
      <w:r w:rsidR="00CC1583">
        <w:t>ims of</w:t>
      </w:r>
      <w:r>
        <w:t xml:space="preserve"> the University of Birmingham’s BBSRC IAA focus</w:t>
      </w:r>
      <w:r w:rsidR="00CC1583">
        <w:t xml:space="preserve"> on:</w:t>
      </w:r>
    </w:p>
    <w:p w:rsidR="009648AE" w:rsidRPr="00CC1583" w:rsidRDefault="009648AE" w:rsidP="00031FC6">
      <w:pPr>
        <w:pStyle w:val="ListParagraph"/>
        <w:numPr>
          <w:ilvl w:val="0"/>
          <w:numId w:val="2"/>
        </w:numPr>
        <w:spacing w:after="0" w:line="240" w:lineRule="auto"/>
      </w:pPr>
      <w:r w:rsidRPr="00CC1583">
        <w:t>Buil</w:t>
      </w:r>
      <w:r w:rsidR="00031FC6">
        <w:t>ding capacity and embedding an impact c</w:t>
      </w:r>
      <w:r w:rsidRPr="00CC1583">
        <w:t>ulture</w:t>
      </w:r>
    </w:p>
    <w:p w:rsidR="009648AE" w:rsidRPr="00CC1583" w:rsidRDefault="009648AE" w:rsidP="00031FC6">
      <w:pPr>
        <w:pStyle w:val="ListParagraph"/>
        <w:numPr>
          <w:ilvl w:val="0"/>
          <w:numId w:val="2"/>
        </w:numPr>
        <w:spacing w:after="0" w:line="240" w:lineRule="auto"/>
      </w:pPr>
      <w:r w:rsidRPr="00CC1583">
        <w:t>Accelerating translation of impact from our existing BBSRC portfolio</w:t>
      </w:r>
    </w:p>
    <w:p w:rsidR="009648AE" w:rsidRDefault="009648AE" w:rsidP="00031FC6">
      <w:pPr>
        <w:pStyle w:val="ListParagraph"/>
        <w:numPr>
          <w:ilvl w:val="0"/>
          <w:numId w:val="2"/>
        </w:numPr>
        <w:spacing w:after="0" w:line="240" w:lineRule="auto"/>
      </w:pPr>
      <w:r w:rsidRPr="00CC1583">
        <w:t>Deepening our engagement with key stakeholders and partners to maximise impact</w:t>
      </w:r>
    </w:p>
    <w:p w:rsidR="00031FC6" w:rsidRPr="00CC1583" w:rsidRDefault="00031FC6" w:rsidP="00031FC6">
      <w:pPr>
        <w:pStyle w:val="ListParagraph"/>
        <w:spacing w:after="0" w:line="240" w:lineRule="auto"/>
      </w:pPr>
    </w:p>
    <w:p w:rsidR="00CC1583" w:rsidRPr="00742BA1" w:rsidRDefault="00CC1583" w:rsidP="00031FC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"/>
        </w:rPr>
      </w:pPr>
      <w:r w:rsidRPr="00CC1583">
        <w:rPr>
          <w:rFonts w:asciiTheme="minorHAnsi" w:hAnsiTheme="minorHAnsi" w:cstheme="minorHAnsi"/>
          <w:sz w:val="22"/>
          <w:szCs w:val="22"/>
          <w:lang w:val="en"/>
        </w:rPr>
        <w:t xml:space="preserve">The University has been awarded £300,000 over a three year period </w:t>
      </w:r>
      <w:r w:rsidR="00031FC6">
        <w:rPr>
          <w:rFonts w:asciiTheme="minorHAnsi" w:hAnsiTheme="minorHAnsi" w:cstheme="minorHAnsi"/>
          <w:sz w:val="22"/>
          <w:szCs w:val="22"/>
          <w:lang w:val="en"/>
        </w:rPr>
        <w:t>from April 2018, to</w:t>
      </w:r>
      <w:r w:rsidRPr="00CC1583">
        <w:rPr>
          <w:rFonts w:asciiTheme="minorHAnsi" w:hAnsiTheme="minorHAnsi" w:cstheme="minorHAnsi"/>
          <w:sz w:val="22"/>
          <w:szCs w:val="22"/>
          <w:lang w:val="en"/>
        </w:rPr>
        <w:t xml:space="preserve"> be </w:t>
      </w:r>
      <w:r w:rsidRPr="00742BA1">
        <w:rPr>
          <w:rFonts w:asciiTheme="minorHAnsi" w:hAnsiTheme="minorHAnsi" w:cstheme="minorHAnsi"/>
          <w:sz w:val="22"/>
          <w:szCs w:val="22"/>
          <w:lang w:val="en"/>
        </w:rPr>
        <w:t xml:space="preserve">distributed between six </w:t>
      </w:r>
      <w:r w:rsidR="00031FC6">
        <w:rPr>
          <w:rFonts w:asciiTheme="minorHAnsi" w:hAnsiTheme="minorHAnsi" w:cstheme="minorHAnsi"/>
          <w:sz w:val="22"/>
          <w:szCs w:val="22"/>
          <w:lang w:val="en"/>
        </w:rPr>
        <w:t xml:space="preserve">key </w:t>
      </w:r>
      <w:r w:rsidRPr="00742BA1">
        <w:rPr>
          <w:rFonts w:asciiTheme="minorHAnsi" w:hAnsiTheme="minorHAnsi" w:cstheme="minorHAnsi"/>
          <w:sz w:val="22"/>
          <w:szCs w:val="22"/>
          <w:lang w:val="en"/>
        </w:rPr>
        <w:t>schemes. Funding through these schemes is available from</w:t>
      </w:r>
      <w:r w:rsidR="00C90495">
        <w:rPr>
          <w:rFonts w:asciiTheme="minorHAnsi" w:hAnsiTheme="minorHAnsi" w:cstheme="minorHAnsi"/>
          <w:sz w:val="22"/>
          <w:szCs w:val="22"/>
          <w:lang w:val="en"/>
        </w:rPr>
        <w:t xml:space="preserve"> September</w:t>
      </w:r>
      <w:r w:rsidR="00031FC6">
        <w:rPr>
          <w:rFonts w:asciiTheme="minorHAnsi" w:hAnsiTheme="minorHAnsi" w:cstheme="minorHAnsi"/>
          <w:sz w:val="22"/>
          <w:szCs w:val="22"/>
          <w:lang w:val="en"/>
        </w:rPr>
        <w:t xml:space="preserve"> 2018</w:t>
      </w:r>
      <w:r w:rsidRPr="00742BA1">
        <w:rPr>
          <w:rFonts w:asciiTheme="minorHAnsi" w:hAnsiTheme="minorHAnsi" w:cstheme="minorHAnsi"/>
          <w:sz w:val="22"/>
          <w:szCs w:val="22"/>
          <w:lang w:val="en"/>
        </w:rPr>
        <w:t xml:space="preserve"> and open to application from all members of </w:t>
      </w:r>
      <w:r w:rsidR="00031FC6">
        <w:rPr>
          <w:rFonts w:asciiTheme="minorHAnsi" w:hAnsiTheme="minorHAnsi" w:cstheme="minorHAnsi"/>
          <w:sz w:val="22"/>
          <w:szCs w:val="22"/>
          <w:lang w:val="en"/>
        </w:rPr>
        <w:t xml:space="preserve">the academic community who hold or </w:t>
      </w:r>
      <w:r w:rsidRPr="00742BA1">
        <w:rPr>
          <w:rFonts w:asciiTheme="minorHAnsi" w:hAnsiTheme="minorHAnsi" w:cstheme="minorHAnsi"/>
          <w:sz w:val="22"/>
          <w:szCs w:val="22"/>
          <w:lang w:val="en"/>
        </w:rPr>
        <w:t>have</w:t>
      </w:r>
      <w:r w:rsidR="00031FC6">
        <w:rPr>
          <w:rFonts w:asciiTheme="minorHAnsi" w:hAnsiTheme="minorHAnsi" w:cstheme="minorHAnsi"/>
          <w:sz w:val="22"/>
          <w:szCs w:val="22"/>
          <w:lang w:val="en"/>
        </w:rPr>
        <w:t xml:space="preserve"> previously</w:t>
      </w:r>
      <w:r w:rsidRPr="00742BA1">
        <w:rPr>
          <w:rFonts w:asciiTheme="minorHAnsi" w:hAnsiTheme="minorHAnsi" w:cstheme="minorHAnsi"/>
          <w:sz w:val="22"/>
          <w:szCs w:val="22"/>
          <w:lang w:val="en"/>
        </w:rPr>
        <w:t xml:space="preserve"> held BBSRC funding. </w:t>
      </w:r>
    </w:p>
    <w:p w:rsidR="00031FC6" w:rsidRDefault="00031FC6" w:rsidP="00031FC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"/>
        </w:rPr>
      </w:pPr>
    </w:p>
    <w:p w:rsidR="009648AE" w:rsidRPr="00742BA1" w:rsidRDefault="00B108B2" w:rsidP="00031FC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"/>
        </w:rPr>
      </w:pPr>
      <w:r>
        <w:rPr>
          <w:rFonts w:asciiTheme="minorHAnsi" w:hAnsiTheme="minorHAnsi" w:cstheme="minorHAnsi"/>
          <w:sz w:val="22"/>
          <w:szCs w:val="22"/>
          <w:lang w:val="en"/>
        </w:rPr>
        <w:t>Details of the</w:t>
      </w:r>
      <w:r w:rsidR="00742BA1" w:rsidRPr="00742BA1">
        <w:rPr>
          <w:rFonts w:asciiTheme="minorHAnsi" w:hAnsiTheme="minorHAnsi" w:cstheme="minorHAnsi"/>
          <w:sz w:val="22"/>
          <w:szCs w:val="22"/>
          <w:lang w:val="en"/>
        </w:rPr>
        <w:t xml:space="preserve"> six schemes are as follows:</w:t>
      </w:r>
    </w:p>
    <w:p w:rsidR="00031FC6" w:rsidRPr="00AA2BB7" w:rsidRDefault="00031FC6" w:rsidP="00031FC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10"/>
          <w:szCs w:val="10"/>
          <w:lang w:val="en"/>
        </w:rPr>
      </w:pPr>
    </w:p>
    <w:p w:rsidR="009648AE" w:rsidRDefault="009648AE" w:rsidP="00031FC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"/>
        </w:rPr>
      </w:pPr>
      <w:r w:rsidRPr="00742BA1">
        <w:rPr>
          <w:rFonts w:asciiTheme="minorHAnsi" w:hAnsiTheme="minorHAnsi" w:cstheme="minorHAnsi"/>
          <w:b/>
          <w:sz w:val="22"/>
          <w:szCs w:val="22"/>
          <w:lang w:val="en"/>
        </w:rPr>
        <w:t xml:space="preserve">Follow-on-Fund (FoF) </w:t>
      </w:r>
      <w:r w:rsidRPr="00742BA1">
        <w:rPr>
          <w:rFonts w:asciiTheme="minorHAnsi" w:hAnsiTheme="minorHAnsi" w:cstheme="minorHAnsi"/>
          <w:sz w:val="22"/>
          <w:szCs w:val="22"/>
          <w:lang w:val="en"/>
        </w:rPr>
        <w:t xml:space="preserve">£140,000 </w:t>
      </w:r>
      <w:r w:rsidR="00031FC6">
        <w:rPr>
          <w:rFonts w:asciiTheme="minorHAnsi" w:hAnsiTheme="minorHAnsi" w:cstheme="minorHAnsi"/>
          <w:sz w:val="22"/>
          <w:szCs w:val="22"/>
          <w:lang w:val="en"/>
        </w:rPr>
        <w:t xml:space="preserve">total: </w:t>
      </w:r>
      <w:r w:rsidRPr="00742BA1">
        <w:rPr>
          <w:rFonts w:asciiTheme="minorHAnsi" w:hAnsiTheme="minorHAnsi" w:cstheme="minorHAnsi"/>
          <w:sz w:val="22"/>
          <w:szCs w:val="22"/>
          <w:lang w:val="en"/>
        </w:rPr>
        <w:t xml:space="preserve">The FoF will provide early-stage commercialisation funding (market analyses/validation, business modelling, business planning with a focus on commercial validation). Projects </w:t>
      </w:r>
      <w:r w:rsidR="00031FC6">
        <w:rPr>
          <w:rFonts w:asciiTheme="minorHAnsi" w:hAnsiTheme="minorHAnsi" w:cstheme="minorHAnsi"/>
          <w:sz w:val="22"/>
          <w:szCs w:val="22"/>
          <w:lang w:val="en"/>
        </w:rPr>
        <w:t xml:space="preserve">should have been discussed with </w:t>
      </w:r>
      <w:hyperlink r:id="rId7" w:history="1">
        <w:r w:rsidR="00031FC6" w:rsidRPr="00031FC6">
          <w:rPr>
            <w:rStyle w:val="Hyperlink"/>
            <w:rFonts w:asciiTheme="minorHAnsi" w:hAnsiTheme="minorHAnsi" w:cstheme="minorHAnsi"/>
            <w:sz w:val="22"/>
            <w:szCs w:val="22"/>
            <w:lang w:val="en"/>
          </w:rPr>
          <w:t>the University of Birmingham Enterprise team</w:t>
        </w:r>
      </w:hyperlink>
      <w:r w:rsidR="00AA2BB7">
        <w:rPr>
          <w:rFonts w:asciiTheme="minorHAnsi" w:hAnsiTheme="minorHAnsi" w:cstheme="minorHAnsi"/>
          <w:sz w:val="22"/>
          <w:szCs w:val="22"/>
          <w:lang w:val="en"/>
        </w:rPr>
        <w:t xml:space="preserve"> prior to application</w:t>
      </w:r>
      <w:r w:rsidRPr="00742BA1">
        <w:rPr>
          <w:rFonts w:asciiTheme="minorHAnsi" w:hAnsiTheme="minorHAnsi" w:cstheme="minorHAnsi"/>
          <w:sz w:val="22"/>
          <w:szCs w:val="22"/>
          <w:lang w:val="en"/>
        </w:rPr>
        <w:t>.</w:t>
      </w:r>
    </w:p>
    <w:p w:rsidR="00031FC6" w:rsidRPr="00AA2BB7" w:rsidRDefault="00031FC6" w:rsidP="00031FC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0"/>
          <w:szCs w:val="10"/>
          <w:lang w:val="en"/>
        </w:rPr>
      </w:pPr>
    </w:p>
    <w:tbl>
      <w:tblPr>
        <w:tblW w:w="9242" w:type="dxa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Layout w:type="fixed"/>
        <w:tblCellMar>
          <w:left w:w="82" w:type="dxa"/>
          <w:right w:w="82" w:type="dxa"/>
        </w:tblCellMar>
        <w:tblLook w:val="04A0" w:firstRow="1" w:lastRow="0" w:firstColumn="1" w:lastColumn="0" w:noHBand="0" w:noVBand="1"/>
      </w:tblPr>
      <w:tblGrid>
        <w:gridCol w:w="2310"/>
        <w:gridCol w:w="2311"/>
        <w:gridCol w:w="2310"/>
        <w:gridCol w:w="2311"/>
      </w:tblGrid>
      <w:tr w:rsidR="00742BA1" w:rsidRPr="00742BA1" w:rsidTr="002C6677">
        <w:tc>
          <w:tcPr>
            <w:tcW w:w="2310" w:type="dxa"/>
          </w:tcPr>
          <w:p w:rsidR="00742BA1" w:rsidRPr="00742BA1" w:rsidRDefault="00742BA1" w:rsidP="00031FC6">
            <w:pPr>
              <w:spacing w:after="0" w:line="240" w:lineRule="auto"/>
              <w:rPr>
                <w:rFonts w:cstheme="minorHAnsi"/>
                <w:b/>
              </w:rPr>
            </w:pPr>
            <w:r w:rsidRPr="00742BA1">
              <w:rPr>
                <w:rFonts w:cstheme="minorHAnsi"/>
                <w:b/>
              </w:rPr>
              <w:t>Funding mechanism</w:t>
            </w:r>
          </w:p>
        </w:tc>
        <w:tc>
          <w:tcPr>
            <w:tcW w:w="2311" w:type="dxa"/>
          </w:tcPr>
          <w:p w:rsidR="00742BA1" w:rsidRPr="00742BA1" w:rsidRDefault="00AA2BB7" w:rsidP="00031FC6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Aim</w:t>
            </w:r>
          </w:p>
        </w:tc>
        <w:tc>
          <w:tcPr>
            <w:tcW w:w="2310" w:type="dxa"/>
          </w:tcPr>
          <w:p w:rsidR="00742BA1" w:rsidRPr="00742BA1" w:rsidRDefault="00742BA1" w:rsidP="00031FC6">
            <w:pPr>
              <w:spacing w:after="0" w:line="240" w:lineRule="auto"/>
              <w:rPr>
                <w:rFonts w:cstheme="minorHAnsi"/>
                <w:b/>
              </w:rPr>
            </w:pPr>
            <w:r w:rsidRPr="00742BA1">
              <w:rPr>
                <w:rFonts w:cstheme="minorHAnsi"/>
                <w:b/>
              </w:rPr>
              <w:t>Outcome</w:t>
            </w:r>
          </w:p>
        </w:tc>
        <w:tc>
          <w:tcPr>
            <w:tcW w:w="2311" w:type="dxa"/>
          </w:tcPr>
          <w:p w:rsidR="00742BA1" w:rsidRPr="00742BA1" w:rsidRDefault="00AA2BB7" w:rsidP="00031FC6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Performance Indicator</w:t>
            </w:r>
          </w:p>
        </w:tc>
      </w:tr>
      <w:tr w:rsidR="00742BA1" w:rsidRPr="00742BA1" w:rsidTr="007038BD">
        <w:tc>
          <w:tcPr>
            <w:tcW w:w="1755" w:type="dxa"/>
          </w:tcPr>
          <w:p w:rsidR="00742BA1" w:rsidRPr="00742BA1" w:rsidRDefault="00742BA1" w:rsidP="00031FC6">
            <w:pPr>
              <w:spacing w:after="0" w:line="240" w:lineRule="auto"/>
              <w:rPr>
                <w:rFonts w:cstheme="minorHAnsi"/>
              </w:rPr>
            </w:pPr>
            <w:r w:rsidRPr="00742BA1">
              <w:rPr>
                <w:rFonts w:cstheme="minorHAnsi"/>
              </w:rPr>
              <w:t>Follow-on-Fund</w:t>
            </w:r>
          </w:p>
        </w:tc>
        <w:tc>
          <w:tcPr>
            <w:tcW w:w="1756" w:type="dxa"/>
          </w:tcPr>
          <w:p w:rsidR="00742BA1" w:rsidRPr="00742BA1" w:rsidRDefault="001D2C7A" w:rsidP="00AA2BB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742BA1" w:rsidRPr="00742BA1">
              <w:rPr>
                <w:rFonts w:cstheme="minorHAnsi"/>
              </w:rPr>
              <w:t>upport</w:t>
            </w:r>
            <w:r>
              <w:rPr>
                <w:rFonts w:cstheme="minorHAnsi"/>
              </w:rPr>
              <w:t>ing</w:t>
            </w:r>
            <w:r w:rsidR="00742BA1" w:rsidRPr="00742BA1">
              <w:rPr>
                <w:rFonts w:cstheme="minorHAnsi"/>
              </w:rPr>
              <w:t xml:space="preserve"> proof-of-concept projects</w:t>
            </w:r>
            <w:r w:rsidR="00AA2BB7">
              <w:rPr>
                <w:rFonts w:cstheme="minorHAnsi"/>
              </w:rPr>
              <w:t xml:space="preserve"> in the range of £10,000 - £30,000, with the latter being a limit for exceptional projects and most tending towards the lower limit. UoB Enterprise will advise on appropriate objectives and funding requests.</w:t>
            </w:r>
          </w:p>
        </w:tc>
        <w:tc>
          <w:tcPr>
            <w:tcW w:w="1755" w:type="dxa"/>
          </w:tcPr>
          <w:p w:rsidR="00742BA1" w:rsidRPr="00742BA1" w:rsidRDefault="00742BA1" w:rsidP="00031FC6">
            <w:pPr>
              <w:spacing w:after="0" w:line="240" w:lineRule="auto"/>
              <w:rPr>
                <w:rFonts w:cstheme="minorHAnsi"/>
              </w:rPr>
            </w:pPr>
            <w:r w:rsidRPr="00742BA1">
              <w:rPr>
                <w:rFonts w:cstheme="minorHAnsi"/>
              </w:rPr>
              <w:t>Proof of concept obtained for future translational funding</w:t>
            </w:r>
          </w:p>
          <w:p w:rsidR="00742BA1" w:rsidRPr="001D2C7A" w:rsidRDefault="00742BA1" w:rsidP="00031FC6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  <w:p w:rsidR="00742BA1" w:rsidRPr="00742BA1" w:rsidRDefault="00742BA1" w:rsidP="00031FC6">
            <w:pPr>
              <w:spacing w:after="0" w:line="240" w:lineRule="auto"/>
              <w:rPr>
                <w:rFonts w:cstheme="minorHAnsi"/>
              </w:rPr>
            </w:pPr>
            <w:r w:rsidRPr="00742BA1">
              <w:rPr>
                <w:rFonts w:cstheme="minorHAnsi"/>
              </w:rPr>
              <w:t>Generation of novel market assessments</w:t>
            </w:r>
          </w:p>
          <w:p w:rsidR="00742BA1" w:rsidRPr="001D2C7A" w:rsidRDefault="00742BA1" w:rsidP="00031FC6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  <w:p w:rsidR="00742BA1" w:rsidRPr="00742BA1" w:rsidRDefault="00742BA1" w:rsidP="00031FC6">
            <w:pPr>
              <w:spacing w:after="0" w:line="240" w:lineRule="auto"/>
              <w:rPr>
                <w:rFonts w:cstheme="minorHAnsi"/>
              </w:rPr>
            </w:pPr>
            <w:r w:rsidRPr="00742BA1">
              <w:rPr>
                <w:rFonts w:cstheme="minorHAnsi"/>
              </w:rPr>
              <w:t>Generation of new records of invention/patents</w:t>
            </w:r>
          </w:p>
        </w:tc>
        <w:tc>
          <w:tcPr>
            <w:tcW w:w="1756" w:type="dxa"/>
          </w:tcPr>
          <w:p w:rsidR="00742BA1" w:rsidRPr="00742BA1" w:rsidRDefault="00742BA1" w:rsidP="00031FC6">
            <w:pPr>
              <w:spacing w:after="0" w:line="240" w:lineRule="auto"/>
              <w:rPr>
                <w:rFonts w:cstheme="minorHAnsi"/>
              </w:rPr>
            </w:pPr>
            <w:r w:rsidRPr="00742BA1">
              <w:rPr>
                <w:rFonts w:cstheme="minorHAnsi"/>
              </w:rPr>
              <w:t>Applications for translational funding arising as a result of proof of concept funding</w:t>
            </w:r>
          </w:p>
          <w:p w:rsidR="00742BA1" w:rsidRPr="001D2C7A" w:rsidRDefault="00742BA1" w:rsidP="00031FC6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  <w:p w:rsidR="00742BA1" w:rsidRPr="00742BA1" w:rsidRDefault="00742BA1" w:rsidP="00031FC6">
            <w:pPr>
              <w:spacing w:after="0" w:line="240" w:lineRule="auto"/>
              <w:rPr>
                <w:rFonts w:cstheme="minorHAnsi"/>
              </w:rPr>
            </w:pPr>
            <w:r w:rsidRPr="00742BA1">
              <w:rPr>
                <w:rFonts w:cstheme="minorHAnsi"/>
              </w:rPr>
              <w:t>Number of completed market assessments</w:t>
            </w:r>
          </w:p>
          <w:p w:rsidR="00742BA1" w:rsidRPr="001D2C7A" w:rsidRDefault="00742BA1" w:rsidP="00031FC6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  <w:p w:rsidR="00742BA1" w:rsidRPr="00742BA1" w:rsidRDefault="00742BA1" w:rsidP="00031FC6">
            <w:pPr>
              <w:spacing w:after="0" w:line="240" w:lineRule="auto"/>
              <w:rPr>
                <w:rFonts w:cstheme="minorHAnsi"/>
              </w:rPr>
            </w:pPr>
            <w:r w:rsidRPr="00742BA1">
              <w:rPr>
                <w:rFonts w:cstheme="minorHAnsi"/>
              </w:rPr>
              <w:t>Number (or value generated) of records of invention/patents filed</w:t>
            </w:r>
          </w:p>
        </w:tc>
      </w:tr>
      <w:tr w:rsidR="002C6677" w:rsidRPr="00742BA1" w:rsidTr="001313E4">
        <w:tc>
          <w:tcPr>
            <w:tcW w:w="1755" w:type="dxa"/>
          </w:tcPr>
          <w:p w:rsidR="002C6677" w:rsidRPr="00742BA1" w:rsidRDefault="002C6677" w:rsidP="00031FC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Applications open:</w:t>
            </w:r>
          </w:p>
        </w:tc>
        <w:tc>
          <w:tcPr>
            <w:tcW w:w="6932" w:type="dxa"/>
            <w:gridSpan w:val="3"/>
          </w:tcPr>
          <w:p w:rsidR="002C6677" w:rsidRPr="00742BA1" w:rsidRDefault="008C6CB7" w:rsidP="00E47D4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September 2018. </w:t>
            </w:r>
            <w:r w:rsidR="00AA2BB7">
              <w:rPr>
                <w:rFonts w:cstheme="minorHAnsi"/>
              </w:rPr>
              <w:t>First deadline</w:t>
            </w:r>
            <w:r w:rsidR="001D2C7A">
              <w:rPr>
                <w:rFonts w:cstheme="minorHAnsi"/>
              </w:rPr>
              <w:t xml:space="preserve"> for applications</w:t>
            </w:r>
            <w:r w:rsidR="00AA2BB7">
              <w:rPr>
                <w:rFonts w:cstheme="minorHAnsi"/>
              </w:rPr>
              <w:t xml:space="preserve"> </w:t>
            </w:r>
            <w:r w:rsidR="00E47D4C">
              <w:rPr>
                <w:rFonts w:cstheme="minorHAnsi"/>
              </w:rPr>
              <w:t>5</w:t>
            </w:r>
            <w:r w:rsidR="00E47D4C" w:rsidRPr="00E47D4C">
              <w:rPr>
                <w:rFonts w:cstheme="minorHAnsi"/>
                <w:vertAlign w:val="superscript"/>
              </w:rPr>
              <w:t>th</w:t>
            </w:r>
            <w:r w:rsidR="00E47D4C">
              <w:rPr>
                <w:rFonts w:cstheme="minorHAnsi"/>
              </w:rPr>
              <w:t xml:space="preserve"> October 2018</w:t>
            </w:r>
          </w:p>
        </w:tc>
      </w:tr>
    </w:tbl>
    <w:p w:rsidR="00031FC6" w:rsidRDefault="00031FC6" w:rsidP="00031FC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  <w:lang w:val="en"/>
        </w:rPr>
      </w:pPr>
    </w:p>
    <w:p w:rsidR="009648AE" w:rsidRDefault="00652773" w:rsidP="00031FC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"/>
        </w:rPr>
      </w:pPr>
      <w:r w:rsidRPr="00742BA1">
        <w:rPr>
          <w:rFonts w:asciiTheme="minorHAnsi" w:hAnsiTheme="minorHAnsi" w:cstheme="minorHAnsi"/>
          <w:b/>
          <w:sz w:val="22"/>
          <w:szCs w:val="22"/>
          <w:lang w:val="en"/>
        </w:rPr>
        <w:t>Business</w:t>
      </w:r>
      <w:r w:rsidR="009648AE" w:rsidRPr="00742BA1">
        <w:rPr>
          <w:rFonts w:asciiTheme="minorHAnsi" w:hAnsiTheme="minorHAnsi" w:cstheme="minorHAnsi"/>
          <w:b/>
          <w:sz w:val="22"/>
          <w:szCs w:val="22"/>
          <w:lang w:val="en"/>
        </w:rPr>
        <w:t xml:space="preserve"> Engagement Fund (BEF) </w:t>
      </w:r>
      <w:r w:rsidR="009648AE" w:rsidRPr="00742BA1">
        <w:rPr>
          <w:rFonts w:asciiTheme="minorHAnsi" w:hAnsiTheme="minorHAnsi" w:cstheme="minorHAnsi"/>
          <w:sz w:val="22"/>
          <w:szCs w:val="22"/>
          <w:lang w:val="en"/>
        </w:rPr>
        <w:t>£20,000</w:t>
      </w:r>
      <w:r w:rsidR="00AA2BB7">
        <w:rPr>
          <w:rFonts w:asciiTheme="minorHAnsi" w:hAnsiTheme="minorHAnsi" w:cstheme="minorHAnsi"/>
          <w:sz w:val="22"/>
          <w:szCs w:val="22"/>
          <w:lang w:val="en"/>
        </w:rPr>
        <w:t xml:space="preserve"> total:</w:t>
      </w:r>
      <w:r w:rsidR="009648AE" w:rsidRPr="00742BA1">
        <w:rPr>
          <w:rFonts w:asciiTheme="minorHAnsi" w:hAnsiTheme="minorHAnsi" w:cstheme="minorHAnsi"/>
          <w:sz w:val="22"/>
          <w:szCs w:val="22"/>
          <w:lang w:val="en"/>
        </w:rPr>
        <w:t xml:space="preserve"> To support early stage interactions with new users </w:t>
      </w:r>
      <w:r w:rsidR="00AA2BB7">
        <w:rPr>
          <w:rFonts w:asciiTheme="minorHAnsi" w:hAnsiTheme="minorHAnsi" w:cstheme="minorHAnsi"/>
          <w:sz w:val="22"/>
          <w:szCs w:val="22"/>
          <w:lang w:val="en"/>
        </w:rPr>
        <w:t>or collaborators (primarily industry-based), funding</w:t>
      </w:r>
      <w:r w:rsidR="009648AE" w:rsidRPr="00742BA1">
        <w:rPr>
          <w:rFonts w:asciiTheme="minorHAnsi" w:hAnsiTheme="minorHAnsi" w:cstheme="minorHAnsi"/>
          <w:sz w:val="22"/>
          <w:szCs w:val="22"/>
          <w:lang w:val="en"/>
        </w:rPr>
        <w:t xml:space="preserve"> will enable individual mobili</w:t>
      </w:r>
      <w:r w:rsidR="00AA2BB7">
        <w:rPr>
          <w:rFonts w:asciiTheme="minorHAnsi" w:hAnsiTheme="minorHAnsi" w:cstheme="minorHAnsi"/>
          <w:sz w:val="22"/>
          <w:szCs w:val="22"/>
          <w:lang w:val="en"/>
        </w:rPr>
        <w:t>ty through grants of up to £2,500</w:t>
      </w:r>
      <w:r w:rsidR="009648AE" w:rsidRPr="00742BA1">
        <w:rPr>
          <w:rFonts w:asciiTheme="minorHAnsi" w:hAnsiTheme="minorHAnsi" w:cstheme="minorHAnsi"/>
          <w:sz w:val="22"/>
          <w:szCs w:val="22"/>
          <w:lang w:val="en"/>
        </w:rPr>
        <w:t xml:space="preserve"> allowing researchers to visit UK/international stakeholders for face-to-face meetings.</w:t>
      </w:r>
      <w:r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</w:p>
    <w:p w:rsidR="00AA2BB7" w:rsidRPr="00AA2BB7" w:rsidRDefault="00AA2BB7" w:rsidP="00031FC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0"/>
          <w:szCs w:val="10"/>
          <w:lang w:val="en"/>
        </w:rPr>
      </w:pPr>
    </w:p>
    <w:tbl>
      <w:tblPr>
        <w:tblW w:w="9242" w:type="dxa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Layout w:type="fixed"/>
        <w:tblCellMar>
          <w:left w:w="82" w:type="dxa"/>
          <w:right w:w="82" w:type="dxa"/>
        </w:tblCellMar>
        <w:tblLook w:val="04A0" w:firstRow="1" w:lastRow="0" w:firstColumn="1" w:lastColumn="0" w:noHBand="0" w:noVBand="1"/>
      </w:tblPr>
      <w:tblGrid>
        <w:gridCol w:w="2310"/>
        <w:gridCol w:w="2311"/>
        <w:gridCol w:w="2310"/>
        <w:gridCol w:w="2311"/>
      </w:tblGrid>
      <w:tr w:rsidR="00652773" w:rsidRPr="00652773" w:rsidTr="00652773">
        <w:tc>
          <w:tcPr>
            <w:tcW w:w="2310" w:type="dxa"/>
          </w:tcPr>
          <w:p w:rsidR="00652773" w:rsidRPr="00652773" w:rsidRDefault="00652773" w:rsidP="00031FC6">
            <w:pPr>
              <w:spacing w:after="0" w:line="240" w:lineRule="auto"/>
              <w:rPr>
                <w:rFonts w:cstheme="minorHAnsi"/>
                <w:b/>
              </w:rPr>
            </w:pPr>
            <w:r w:rsidRPr="00652773">
              <w:rPr>
                <w:rFonts w:cstheme="minorHAnsi"/>
                <w:b/>
              </w:rPr>
              <w:t>Funding mechanism</w:t>
            </w:r>
          </w:p>
        </w:tc>
        <w:tc>
          <w:tcPr>
            <w:tcW w:w="2311" w:type="dxa"/>
          </w:tcPr>
          <w:p w:rsidR="00652773" w:rsidRPr="00652773" w:rsidRDefault="00AA2BB7" w:rsidP="00031FC6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Aim</w:t>
            </w:r>
            <w:r w:rsidR="00652773" w:rsidRPr="00652773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310" w:type="dxa"/>
          </w:tcPr>
          <w:p w:rsidR="00652773" w:rsidRPr="00652773" w:rsidRDefault="00652773" w:rsidP="00031FC6">
            <w:pPr>
              <w:spacing w:after="0" w:line="240" w:lineRule="auto"/>
              <w:rPr>
                <w:rFonts w:cstheme="minorHAnsi"/>
                <w:b/>
              </w:rPr>
            </w:pPr>
            <w:r w:rsidRPr="00652773">
              <w:rPr>
                <w:rFonts w:cstheme="minorHAnsi"/>
                <w:b/>
              </w:rPr>
              <w:t>Outcome</w:t>
            </w:r>
          </w:p>
        </w:tc>
        <w:tc>
          <w:tcPr>
            <w:tcW w:w="2311" w:type="dxa"/>
          </w:tcPr>
          <w:p w:rsidR="00652773" w:rsidRPr="00652773" w:rsidRDefault="00AA2BB7" w:rsidP="00031FC6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Performance Indicator</w:t>
            </w:r>
          </w:p>
        </w:tc>
      </w:tr>
      <w:tr w:rsidR="00652773" w:rsidRPr="00652773" w:rsidTr="002C6677">
        <w:tc>
          <w:tcPr>
            <w:tcW w:w="2310" w:type="dxa"/>
          </w:tcPr>
          <w:p w:rsidR="00652773" w:rsidRPr="00652773" w:rsidRDefault="00652773" w:rsidP="00031FC6">
            <w:pPr>
              <w:spacing w:after="0" w:line="240" w:lineRule="auto"/>
              <w:rPr>
                <w:rFonts w:cstheme="minorHAnsi"/>
              </w:rPr>
            </w:pPr>
            <w:r w:rsidRPr="00652773">
              <w:rPr>
                <w:rFonts w:cstheme="minorHAnsi"/>
              </w:rPr>
              <w:t>Business Engagement Fund</w:t>
            </w:r>
          </w:p>
        </w:tc>
        <w:tc>
          <w:tcPr>
            <w:tcW w:w="2311" w:type="dxa"/>
          </w:tcPr>
          <w:p w:rsidR="00652773" w:rsidRPr="00652773" w:rsidRDefault="001D2C7A" w:rsidP="00AA2BB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652773" w:rsidRPr="00652773">
              <w:rPr>
                <w:rFonts w:cstheme="minorHAnsi"/>
              </w:rPr>
              <w:t>upport</w:t>
            </w:r>
            <w:r>
              <w:rPr>
                <w:rFonts w:cstheme="minorHAnsi"/>
              </w:rPr>
              <w:t>ing</w:t>
            </w:r>
            <w:r w:rsidR="00652773" w:rsidRPr="00652773">
              <w:rPr>
                <w:rFonts w:cstheme="minorHAnsi"/>
              </w:rPr>
              <w:t xml:space="preserve"> face to face meetings with new stakeholders</w:t>
            </w:r>
            <w:r w:rsidR="00AA2BB7">
              <w:rPr>
                <w:rFonts w:cstheme="minorHAnsi"/>
              </w:rPr>
              <w:t xml:space="preserve"> by funding travel costs and/or </w:t>
            </w:r>
            <w:r w:rsidR="00AA2BB7">
              <w:rPr>
                <w:rFonts w:cstheme="minorHAnsi"/>
              </w:rPr>
              <w:lastRenderedPageBreak/>
              <w:t>related costs such as childcare</w:t>
            </w:r>
          </w:p>
        </w:tc>
        <w:tc>
          <w:tcPr>
            <w:tcW w:w="2310" w:type="dxa"/>
          </w:tcPr>
          <w:p w:rsidR="00652773" w:rsidRPr="00652773" w:rsidRDefault="00652773" w:rsidP="00031FC6">
            <w:pPr>
              <w:spacing w:after="0" w:line="240" w:lineRule="auto"/>
              <w:rPr>
                <w:rFonts w:cstheme="minorHAnsi"/>
              </w:rPr>
            </w:pPr>
            <w:r w:rsidRPr="00652773">
              <w:rPr>
                <w:rFonts w:cstheme="minorHAnsi"/>
              </w:rPr>
              <w:lastRenderedPageBreak/>
              <w:t>Initiation of novel partnerships</w:t>
            </w:r>
          </w:p>
          <w:p w:rsidR="00652773" w:rsidRPr="001D2C7A" w:rsidRDefault="00652773" w:rsidP="00031FC6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  <w:p w:rsidR="00652773" w:rsidRPr="00652773" w:rsidRDefault="00652773" w:rsidP="00031FC6">
            <w:pPr>
              <w:spacing w:after="0" w:line="240" w:lineRule="auto"/>
              <w:rPr>
                <w:rFonts w:cstheme="minorHAnsi"/>
              </w:rPr>
            </w:pPr>
            <w:r w:rsidRPr="00652773">
              <w:rPr>
                <w:rFonts w:cstheme="minorHAnsi"/>
              </w:rPr>
              <w:t>Co-creation of future research programmes</w:t>
            </w:r>
          </w:p>
        </w:tc>
        <w:tc>
          <w:tcPr>
            <w:tcW w:w="2311" w:type="dxa"/>
          </w:tcPr>
          <w:p w:rsidR="00652773" w:rsidRPr="00652773" w:rsidRDefault="00652773" w:rsidP="00031FC6">
            <w:pPr>
              <w:spacing w:after="0" w:line="240" w:lineRule="auto"/>
              <w:rPr>
                <w:rFonts w:cstheme="minorHAnsi"/>
              </w:rPr>
            </w:pPr>
            <w:r w:rsidRPr="00652773">
              <w:rPr>
                <w:rFonts w:cstheme="minorHAnsi"/>
              </w:rPr>
              <w:t>Number of new partnerships formed</w:t>
            </w:r>
          </w:p>
          <w:p w:rsidR="00652773" w:rsidRPr="001D2C7A" w:rsidRDefault="00652773" w:rsidP="00031FC6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  <w:p w:rsidR="00652773" w:rsidRPr="00652773" w:rsidRDefault="00652773" w:rsidP="00031FC6">
            <w:pPr>
              <w:spacing w:after="0" w:line="240" w:lineRule="auto"/>
              <w:rPr>
                <w:rFonts w:cstheme="minorHAnsi"/>
              </w:rPr>
            </w:pPr>
            <w:r w:rsidRPr="00652773">
              <w:rPr>
                <w:rFonts w:cstheme="minorHAnsi"/>
              </w:rPr>
              <w:lastRenderedPageBreak/>
              <w:t>Grant applications arising from co-creation of research</w:t>
            </w:r>
          </w:p>
        </w:tc>
      </w:tr>
      <w:tr w:rsidR="002C6677" w:rsidRPr="00652773" w:rsidTr="00773E2B">
        <w:tc>
          <w:tcPr>
            <w:tcW w:w="1755" w:type="dxa"/>
          </w:tcPr>
          <w:p w:rsidR="002C6677" w:rsidRPr="00742BA1" w:rsidRDefault="002C6677" w:rsidP="00031FC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Applications open:</w:t>
            </w:r>
          </w:p>
        </w:tc>
        <w:tc>
          <w:tcPr>
            <w:tcW w:w="6932" w:type="dxa"/>
            <w:gridSpan w:val="3"/>
          </w:tcPr>
          <w:p w:rsidR="002C6677" w:rsidRPr="00652773" w:rsidRDefault="00442F9E" w:rsidP="00AA2BB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September</w:t>
            </w:r>
            <w:r w:rsidR="00AA2BB7">
              <w:rPr>
                <w:rFonts w:cstheme="minorHAnsi"/>
              </w:rPr>
              <w:t xml:space="preserve"> 2018 – no deadlines, apply when needed, decision within 2 weeks</w:t>
            </w:r>
          </w:p>
        </w:tc>
      </w:tr>
    </w:tbl>
    <w:p w:rsidR="00AA2BB7" w:rsidRDefault="00AA2BB7" w:rsidP="00031FC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  <w:lang w:val="en"/>
        </w:rPr>
      </w:pPr>
    </w:p>
    <w:p w:rsidR="009648AE" w:rsidRDefault="009648AE" w:rsidP="00031FC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"/>
        </w:rPr>
      </w:pPr>
      <w:r w:rsidRPr="00742BA1">
        <w:rPr>
          <w:rFonts w:asciiTheme="minorHAnsi" w:hAnsiTheme="minorHAnsi" w:cstheme="minorHAnsi"/>
          <w:b/>
          <w:sz w:val="22"/>
          <w:szCs w:val="22"/>
          <w:lang w:val="en"/>
        </w:rPr>
        <w:t>Policy Placement Scheme (PPS)</w:t>
      </w:r>
      <w:r w:rsidRPr="00742BA1">
        <w:rPr>
          <w:rFonts w:asciiTheme="minorHAnsi" w:hAnsiTheme="minorHAnsi" w:cstheme="minorHAnsi"/>
          <w:sz w:val="22"/>
          <w:szCs w:val="22"/>
          <w:lang w:val="en"/>
        </w:rPr>
        <w:t xml:space="preserve"> £10,000 </w:t>
      </w:r>
      <w:r w:rsidR="00AA2BB7">
        <w:rPr>
          <w:rFonts w:asciiTheme="minorHAnsi" w:hAnsiTheme="minorHAnsi" w:cstheme="minorHAnsi"/>
          <w:sz w:val="22"/>
          <w:szCs w:val="22"/>
          <w:lang w:val="en"/>
        </w:rPr>
        <w:t xml:space="preserve">total: </w:t>
      </w:r>
      <w:r w:rsidRPr="00742BA1">
        <w:rPr>
          <w:rFonts w:asciiTheme="minorHAnsi" w:hAnsiTheme="minorHAnsi" w:cstheme="minorHAnsi"/>
          <w:sz w:val="22"/>
          <w:szCs w:val="22"/>
          <w:lang w:val="en"/>
        </w:rPr>
        <w:t xml:space="preserve">To </w:t>
      </w:r>
      <w:r w:rsidR="00AA2BB7">
        <w:rPr>
          <w:rFonts w:asciiTheme="minorHAnsi" w:hAnsiTheme="minorHAnsi" w:cstheme="minorHAnsi"/>
          <w:sz w:val="22"/>
          <w:szCs w:val="22"/>
          <w:lang w:val="en"/>
        </w:rPr>
        <w:t xml:space="preserve">drive policy impact, and create/nurture/embed </w:t>
      </w:r>
      <w:r w:rsidRPr="00742BA1">
        <w:rPr>
          <w:rFonts w:asciiTheme="minorHAnsi" w:hAnsiTheme="minorHAnsi" w:cstheme="minorHAnsi"/>
          <w:sz w:val="22"/>
          <w:szCs w:val="22"/>
          <w:lang w:val="en"/>
        </w:rPr>
        <w:t xml:space="preserve">partnerships as part of </w:t>
      </w:r>
      <w:r w:rsidR="00AA2BB7">
        <w:rPr>
          <w:rFonts w:asciiTheme="minorHAnsi" w:hAnsiTheme="minorHAnsi" w:cstheme="minorHAnsi"/>
          <w:sz w:val="22"/>
          <w:szCs w:val="22"/>
          <w:lang w:val="en"/>
        </w:rPr>
        <w:t>the University’s wider impact agenda</w:t>
      </w:r>
      <w:r w:rsidRPr="00742BA1">
        <w:rPr>
          <w:rFonts w:asciiTheme="minorHAnsi" w:hAnsiTheme="minorHAnsi" w:cstheme="minorHAnsi"/>
          <w:sz w:val="22"/>
          <w:szCs w:val="22"/>
          <w:lang w:val="en"/>
        </w:rPr>
        <w:t xml:space="preserve">, </w:t>
      </w:r>
      <w:r w:rsidR="00AA2BB7">
        <w:rPr>
          <w:rFonts w:asciiTheme="minorHAnsi" w:hAnsiTheme="minorHAnsi" w:cstheme="minorHAnsi"/>
          <w:sz w:val="22"/>
          <w:szCs w:val="22"/>
          <w:lang w:val="en"/>
        </w:rPr>
        <w:t>knowledge exchange activities between BBSRC-</w:t>
      </w:r>
      <w:r w:rsidRPr="00742BA1">
        <w:rPr>
          <w:rFonts w:asciiTheme="minorHAnsi" w:hAnsiTheme="minorHAnsi" w:cstheme="minorHAnsi"/>
          <w:sz w:val="22"/>
          <w:szCs w:val="22"/>
          <w:lang w:val="en"/>
        </w:rPr>
        <w:t>funded researchers and public sector organisations</w:t>
      </w:r>
      <w:r w:rsidR="00AA2BB7">
        <w:rPr>
          <w:rFonts w:asciiTheme="minorHAnsi" w:hAnsiTheme="minorHAnsi" w:cstheme="minorHAnsi"/>
          <w:sz w:val="22"/>
          <w:szCs w:val="22"/>
          <w:lang w:val="en"/>
        </w:rPr>
        <w:t xml:space="preserve"> are a key priority</w:t>
      </w:r>
      <w:r w:rsidRPr="00742BA1">
        <w:rPr>
          <w:rFonts w:asciiTheme="minorHAnsi" w:hAnsiTheme="minorHAnsi" w:cstheme="minorHAnsi"/>
          <w:sz w:val="22"/>
          <w:szCs w:val="22"/>
          <w:lang w:val="en"/>
        </w:rPr>
        <w:t xml:space="preserve">. </w:t>
      </w:r>
    </w:p>
    <w:p w:rsidR="00AA2BB7" w:rsidRPr="00AA2BB7" w:rsidRDefault="00AA2BB7" w:rsidP="00031FC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0"/>
          <w:szCs w:val="10"/>
          <w:lang w:val="en"/>
        </w:rPr>
      </w:pPr>
    </w:p>
    <w:tbl>
      <w:tblPr>
        <w:tblW w:w="9242" w:type="dxa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Layout w:type="fixed"/>
        <w:tblCellMar>
          <w:left w:w="82" w:type="dxa"/>
          <w:right w:w="82" w:type="dxa"/>
        </w:tblCellMar>
        <w:tblLook w:val="04A0" w:firstRow="1" w:lastRow="0" w:firstColumn="1" w:lastColumn="0" w:noHBand="0" w:noVBand="1"/>
      </w:tblPr>
      <w:tblGrid>
        <w:gridCol w:w="2310"/>
        <w:gridCol w:w="2311"/>
        <w:gridCol w:w="2310"/>
        <w:gridCol w:w="2311"/>
      </w:tblGrid>
      <w:tr w:rsidR="00652773" w:rsidRPr="00652773" w:rsidTr="007038BD">
        <w:tc>
          <w:tcPr>
            <w:tcW w:w="2310" w:type="dxa"/>
          </w:tcPr>
          <w:p w:rsidR="00652773" w:rsidRPr="00652773" w:rsidRDefault="00652773" w:rsidP="00031FC6">
            <w:pPr>
              <w:spacing w:after="0" w:line="240" w:lineRule="auto"/>
              <w:rPr>
                <w:rFonts w:cstheme="minorHAnsi"/>
                <w:b/>
              </w:rPr>
            </w:pPr>
            <w:r w:rsidRPr="00652773">
              <w:rPr>
                <w:rFonts w:cstheme="minorHAnsi"/>
                <w:b/>
              </w:rPr>
              <w:t>Funding mechanism</w:t>
            </w:r>
          </w:p>
        </w:tc>
        <w:tc>
          <w:tcPr>
            <w:tcW w:w="2311" w:type="dxa"/>
          </w:tcPr>
          <w:p w:rsidR="00652773" w:rsidRPr="00652773" w:rsidRDefault="00AA2BB7" w:rsidP="00031FC6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Aim</w:t>
            </w:r>
          </w:p>
        </w:tc>
        <w:tc>
          <w:tcPr>
            <w:tcW w:w="2310" w:type="dxa"/>
          </w:tcPr>
          <w:p w:rsidR="00652773" w:rsidRPr="00652773" w:rsidRDefault="00652773" w:rsidP="00031FC6">
            <w:pPr>
              <w:spacing w:after="0" w:line="240" w:lineRule="auto"/>
              <w:rPr>
                <w:rFonts w:cstheme="minorHAnsi"/>
                <w:b/>
              </w:rPr>
            </w:pPr>
            <w:r w:rsidRPr="00652773">
              <w:rPr>
                <w:rFonts w:cstheme="minorHAnsi"/>
                <w:b/>
              </w:rPr>
              <w:t>Outcome</w:t>
            </w:r>
          </w:p>
        </w:tc>
        <w:tc>
          <w:tcPr>
            <w:tcW w:w="2311" w:type="dxa"/>
          </w:tcPr>
          <w:p w:rsidR="00652773" w:rsidRPr="00652773" w:rsidRDefault="00AA2BB7" w:rsidP="00031FC6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Performance Indicator</w:t>
            </w:r>
          </w:p>
        </w:tc>
      </w:tr>
      <w:tr w:rsidR="00652773" w:rsidRPr="00652773" w:rsidTr="00652773">
        <w:tc>
          <w:tcPr>
            <w:tcW w:w="2310" w:type="dxa"/>
          </w:tcPr>
          <w:p w:rsidR="00652773" w:rsidRPr="00652773" w:rsidRDefault="00652773" w:rsidP="00031FC6">
            <w:pPr>
              <w:spacing w:after="0" w:line="240" w:lineRule="auto"/>
              <w:rPr>
                <w:rFonts w:cstheme="minorHAnsi"/>
              </w:rPr>
            </w:pPr>
            <w:r w:rsidRPr="00652773">
              <w:rPr>
                <w:rFonts w:cstheme="minorHAnsi"/>
              </w:rPr>
              <w:t>Policy Placement Scheme</w:t>
            </w:r>
          </w:p>
        </w:tc>
        <w:tc>
          <w:tcPr>
            <w:tcW w:w="2311" w:type="dxa"/>
          </w:tcPr>
          <w:p w:rsidR="00652773" w:rsidRPr="00652773" w:rsidRDefault="00AA2BB7" w:rsidP="000A0A0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652773" w:rsidRPr="00652773">
              <w:rPr>
                <w:rFonts w:cstheme="minorHAnsi"/>
              </w:rPr>
              <w:t>upport</w:t>
            </w:r>
            <w:r>
              <w:rPr>
                <w:rFonts w:cstheme="minorHAnsi"/>
              </w:rPr>
              <w:t xml:space="preserve">ing influential </w:t>
            </w:r>
            <w:r w:rsidR="00652773" w:rsidRPr="00652773">
              <w:rPr>
                <w:rFonts w:cstheme="minorHAnsi"/>
              </w:rPr>
              <w:t xml:space="preserve">policy </w:t>
            </w:r>
            <w:r w:rsidR="000A0A01">
              <w:rPr>
                <w:rFonts w:cstheme="minorHAnsi"/>
              </w:rPr>
              <w:t xml:space="preserve">engagement and </w:t>
            </w:r>
            <w:r w:rsidR="00652773" w:rsidRPr="00652773">
              <w:rPr>
                <w:rFonts w:cstheme="minorHAnsi"/>
              </w:rPr>
              <w:t>placements</w:t>
            </w:r>
            <w:r>
              <w:rPr>
                <w:rFonts w:cstheme="minorHAnsi"/>
              </w:rPr>
              <w:t xml:space="preserve">, </w:t>
            </w:r>
            <w:r w:rsidR="000A0A01">
              <w:rPr>
                <w:rFonts w:cstheme="minorHAnsi"/>
              </w:rPr>
              <w:t>especially</w:t>
            </w:r>
            <w:r>
              <w:rPr>
                <w:rFonts w:cstheme="minorHAnsi"/>
              </w:rPr>
              <w:t xml:space="preserve"> those relevant to the West Midlands region (e.g. West Midlands Combined Authority).</w:t>
            </w:r>
          </w:p>
        </w:tc>
        <w:tc>
          <w:tcPr>
            <w:tcW w:w="2310" w:type="dxa"/>
          </w:tcPr>
          <w:p w:rsidR="00652773" w:rsidRPr="00652773" w:rsidRDefault="00652773" w:rsidP="00031FC6">
            <w:pPr>
              <w:spacing w:after="0" w:line="240" w:lineRule="auto"/>
              <w:rPr>
                <w:rFonts w:cstheme="minorHAnsi"/>
              </w:rPr>
            </w:pPr>
            <w:r w:rsidRPr="00652773">
              <w:rPr>
                <w:rFonts w:cstheme="minorHAnsi"/>
              </w:rPr>
              <w:t>Creation of new partnerships with regional and national public sector organisations</w:t>
            </w:r>
          </w:p>
          <w:p w:rsidR="00652773" w:rsidRPr="00A37A46" w:rsidRDefault="00652773" w:rsidP="00031FC6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  <w:p w:rsidR="00652773" w:rsidRPr="00652773" w:rsidRDefault="00652773" w:rsidP="00031FC6">
            <w:pPr>
              <w:spacing w:after="0" w:line="240" w:lineRule="auto"/>
              <w:rPr>
                <w:rFonts w:cstheme="minorHAnsi"/>
              </w:rPr>
            </w:pPr>
            <w:r w:rsidRPr="00652773">
              <w:rPr>
                <w:rFonts w:cstheme="minorHAnsi"/>
              </w:rPr>
              <w:t>Translation of BBSRC research into policy outcomes</w:t>
            </w:r>
          </w:p>
        </w:tc>
        <w:tc>
          <w:tcPr>
            <w:tcW w:w="2311" w:type="dxa"/>
          </w:tcPr>
          <w:p w:rsidR="00652773" w:rsidRPr="00652773" w:rsidRDefault="00652773" w:rsidP="00031FC6">
            <w:pPr>
              <w:spacing w:after="0" w:line="240" w:lineRule="auto"/>
              <w:rPr>
                <w:rFonts w:cstheme="minorHAnsi"/>
              </w:rPr>
            </w:pPr>
            <w:r w:rsidRPr="00652773">
              <w:rPr>
                <w:rFonts w:cstheme="minorHAnsi"/>
              </w:rPr>
              <w:t>Numbers of placements undertaken</w:t>
            </w:r>
          </w:p>
          <w:p w:rsidR="00652773" w:rsidRPr="00A37A46" w:rsidRDefault="00652773" w:rsidP="00031FC6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  <w:p w:rsidR="00652773" w:rsidRPr="00652773" w:rsidRDefault="00652773" w:rsidP="00031FC6">
            <w:pPr>
              <w:spacing w:after="0" w:line="240" w:lineRule="auto"/>
              <w:rPr>
                <w:rFonts w:cstheme="minorHAnsi"/>
              </w:rPr>
            </w:pPr>
            <w:r w:rsidRPr="00652773">
              <w:rPr>
                <w:rFonts w:cstheme="minorHAnsi"/>
              </w:rPr>
              <w:t>Academic-public sector joint publications</w:t>
            </w:r>
          </w:p>
          <w:p w:rsidR="00652773" w:rsidRPr="00A37A46" w:rsidRDefault="00652773" w:rsidP="00031FC6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  <w:p w:rsidR="00652773" w:rsidRPr="00652773" w:rsidRDefault="00652773" w:rsidP="00031FC6">
            <w:pPr>
              <w:spacing w:after="0" w:line="240" w:lineRule="auto"/>
              <w:rPr>
                <w:rFonts w:cstheme="minorHAnsi"/>
              </w:rPr>
            </w:pPr>
            <w:r w:rsidRPr="00652773">
              <w:rPr>
                <w:rFonts w:cstheme="minorHAnsi"/>
              </w:rPr>
              <w:t>Communications to promote and share learning (e.g. news stories, web hits, presentations)</w:t>
            </w:r>
          </w:p>
        </w:tc>
      </w:tr>
      <w:tr w:rsidR="002C6677" w:rsidRPr="00652773" w:rsidTr="003C794B">
        <w:tc>
          <w:tcPr>
            <w:tcW w:w="2310" w:type="dxa"/>
          </w:tcPr>
          <w:p w:rsidR="002C6677" w:rsidRPr="00742BA1" w:rsidRDefault="002C6677" w:rsidP="00031FC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Applications open:</w:t>
            </w:r>
          </w:p>
        </w:tc>
        <w:tc>
          <w:tcPr>
            <w:tcW w:w="6932" w:type="dxa"/>
            <w:gridSpan w:val="3"/>
          </w:tcPr>
          <w:p w:rsidR="002C6677" w:rsidRPr="00652773" w:rsidRDefault="00442F9E" w:rsidP="008C6CB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September</w:t>
            </w:r>
            <w:r w:rsidR="008C6CB7">
              <w:rPr>
                <w:rFonts w:cstheme="minorHAnsi"/>
              </w:rPr>
              <w:t xml:space="preserve"> 2018. First deadline for applications 5</w:t>
            </w:r>
            <w:r w:rsidR="008C6CB7" w:rsidRPr="00E47D4C">
              <w:rPr>
                <w:rFonts w:cstheme="minorHAnsi"/>
                <w:vertAlign w:val="superscript"/>
              </w:rPr>
              <w:t>th</w:t>
            </w:r>
            <w:r w:rsidR="008C6CB7">
              <w:rPr>
                <w:rFonts w:cstheme="minorHAnsi"/>
              </w:rPr>
              <w:t xml:space="preserve"> October 2018</w:t>
            </w:r>
          </w:p>
        </w:tc>
      </w:tr>
    </w:tbl>
    <w:p w:rsidR="001D2C7A" w:rsidRDefault="001D2C7A" w:rsidP="00031FC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  <w:lang w:val="en"/>
        </w:rPr>
      </w:pPr>
    </w:p>
    <w:p w:rsidR="001D2C7A" w:rsidRDefault="009648AE" w:rsidP="00031FC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"/>
        </w:rPr>
      </w:pPr>
      <w:r w:rsidRPr="00742BA1">
        <w:rPr>
          <w:rFonts w:asciiTheme="minorHAnsi" w:hAnsiTheme="minorHAnsi" w:cstheme="minorHAnsi"/>
          <w:b/>
          <w:sz w:val="22"/>
          <w:szCs w:val="22"/>
          <w:lang w:val="en"/>
        </w:rPr>
        <w:t>People Exchange Programme (PEP)</w:t>
      </w:r>
      <w:r w:rsidR="001D2C7A">
        <w:rPr>
          <w:rFonts w:asciiTheme="minorHAnsi" w:hAnsiTheme="minorHAnsi" w:cstheme="minorHAnsi"/>
          <w:sz w:val="22"/>
          <w:szCs w:val="22"/>
          <w:lang w:val="en"/>
        </w:rPr>
        <w:t xml:space="preserve"> £100,000 total: The most ambitious of our IAA-funded knowledge exchange programmes, this scheme aims to support long-term embedding of staff (typically 6-12 months) within non-academic user organisations – or embed people from these organisations within the University – to support the translation of BBSRC funded research.</w:t>
      </w:r>
    </w:p>
    <w:p w:rsidR="001D2C7A" w:rsidRPr="001D2C7A" w:rsidRDefault="001D2C7A" w:rsidP="00031FC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0"/>
          <w:szCs w:val="10"/>
          <w:lang w:val="en"/>
        </w:rPr>
      </w:pPr>
    </w:p>
    <w:tbl>
      <w:tblPr>
        <w:tblW w:w="9242" w:type="dxa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Layout w:type="fixed"/>
        <w:tblCellMar>
          <w:left w:w="82" w:type="dxa"/>
          <w:right w:w="82" w:type="dxa"/>
        </w:tblCellMar>
        <w:tblLook w:val="04A0" w:firstRow="1" w:lastRow="0" w:firstColumn="1" w:lastColumn="0" w:noHBand="0" w:noVBand="1"/>
      </w:tblPr>
      <w:tblGrid>
        <w:gridCol w:w="2310"/>
        <w:gridCol w:w="2311"/>
        <w:gridCol w:w="2310"/>
        <w:gridCol w:w="2311"/>
      </w:tblGrid>
      <w:tr w:rsidR="00652773" w:rsidRPr="00652773" w:rsidTr="007038BD">
        <w:tc>
          <w:tcPr>
            <w:tcW w:w="2310" w:type="dxa"/>
          </w:tcPr>
          <w:p w:rsidR="00652773" w:rsidRPr="00652773" w:rsidRDefault="00652773" w:rsidP="00031FC6">
            <w:pPr>
              <w:spacing w:after="0" w:line="240" w:lineRule="auto"/>
              <w:rPr>
                <w:rFonts w:cstheme="minorHAnsi"/>
                <w:b/>
              </w:rPr>
            </w:pPr>
            <w:r w:rsidRPr="00652773">
              <w:rPr>
                <w:rFonts w:cstheme="minorHAnsi"/>
                <w:b/>
              </w:rPr>
              <w:t>Funding mechanism</w:t>
            </w:r>
          </w:p>
        </w:tc>
        <w:tc>
          <w:tcPr>
            <w:tcW w:w="2311" w:type="dxa"/>
          </w:tcPr>
          <w:p w:rsidR="00652773" w:rsidRPr="00652773" w:rsidRDefault="001D2C7A" w:rsidP="00031FC6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Aim</w:t>
            </w:r>
          </w:p>
        </w:tc>
        <w:tc>
          <w:tcPr>
            <w:tcW w:w="2310" w:type="dxa"/>
          </w:tcPr>
          <w:p w:rsidR="00652773" w:rsidRPr="00652773" w:rsidRDefault="00652773" w:rsidP="00031FC6">
            <w:pPr>
              <w:spacing w:after="0" w:line="240" w:lineRule="auto"/>
              <w:rPr>
                <w:rFonts w:cstheme="minorHAnsi"/>
                <w:b/>
              </w:rPr>
            </w:pPr>
            <w:r w:rsidRPr="00652773">
              <w:rPr>
                <w:rFonts w:cstheme="minorHAnsi"/>
                <w:b/>
              </w:rPr>
              <w:t>Outcome</w:t>
            </w:r>
          </w:p>
        </w:tc>
        <w:tc>
          <w:tcPr>
            <w:tcW w:w="2311" w:type="dxa"/>
          </w:tcPr>
          <w:p w:rsidR="00652773" w:rsidRPr="00652773" w:rsidRDefault="001D2C7A" w:rsidP="00031FC6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Performance Indicator</w:t>
            </w:r>
          </w:p>
        </w:tc>
      </w:tr>
      <w:tr w:rsidR="00652773" w:rsidRPr="00652773" w:rsidTr="00652773">
        <w:tc>
          <w:tcPr>
            <w:tcW w:w="2310" w:type="dxa"/>
          </w:tcPr>
          <w:p w:rsidR="00652773" w:rsidRPr="00652773" w:rsidRDefault="00652773" w:rsidP="00031FC6">
            <w:pPr>
              <w:spacing w:after="0" w:line="240" w:lineRule="auto"/>
              <w:rPr>
                <w:rFonts w:cstheme="minorHAnsi"/>
              </w:rPr>
            </w:pPr>
            <w:r w:rsidRPr="00652773">
              <w:rPr>
                <w:rFonts w:cstheme="minorHAnsi"/>
              </w:rPr>
              <w:t>People Exchange Programme</w:t>
            </w:r>
          </w:p>
        </w:tc>
        <w:tc>
          <w:tcPr>
            <w:tcW w:w="2311" w:type="dxa"/>
          </w:tcPr>
          <w:p w:rsidR="00652773" w:rsidRPr="00652773" w:rsidRDefault="001D2C7A" w:rsidP="00A31F6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Supporting ambitious secondment activities that provide funds to embed BBSRC-funded research within non-academic user organisations – either through movement of UoB research staff to their organisations, or their staff to our institution. Funds cover appropriate expenses for either direction of travel.</w:t>
            </w:r>
          </w:p>
        </w:tc>
        <w:tc>
          <w:tcPr>
            <w:tcW w:w="2310" w:type="dxa"/>
          </w:tcPr>
          <w:p w:rsidR="00652773" w:rsidRPr="00652773" w:rsidRDefault="00652773" w:rsidP="00A31F66">
            <w:pPr>
              <w:spacing w:after="0" w:line="240" w:lineRule="auto"/>
              <w:rPr>
                <w:rFonts w:cstheme="minorHAnsi"/>
              </w:rPr>
            </w:pPr>
            <w:r w:rsidRPr="00652773">
              <w:rPr>
                <w:rFonts w:cstheme="minorHAnsi"/>
              </w:rPr>
              <w:t>Deepening of partnerships with external stakeholders</w:t>
            </w:r>
          </w:p>
          <w:p w:rsidR="00652773" w:rsidRPr="001D2C7A" w:rsidRDefault="00652773" w:rsidP="00A31F66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  <w:p w:rsidR="00652773" w:rsidRPr="00652773" w:rsidRDefault="00652773" w:rsidP="00A31F66">
            <w:pPr>
              <w:spacing w:after="0" w:line="240" w:lineRule="auto"/>
              <w:rPr>
                <w:rFonts w:cstheme="minorHAnsi"/>
              </w:rPr>
            </w:pPr>
            <w:r w:rsidRPr="00652773">
              <w:rPr>
                <w:rFonts w:cstheme="minorHAnsi"/>
              </w:rPr>
              <w:t>BBSRC research translated into new products</w:t>
            </w:r>
            <w:r w:rsidR="001D2C7A">
              <w:rPr>
                <w:rFonts w:cstheme="minorHAnsi"/>
              </w:rPr>
              <w:t>, policies and/or services</w:t>
            </w:r>
          </w:p>
          <w:p w:rsidR="00652773" w:rsidRPr="001D2C7A" w:rsidRDefault="00652773" w:rsidP="00A31F66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  <w:p w:rsidR="00652773" w:rsidRPr="00652773" w:rsidRDefault="00652773" w:rsidP="00A31F66">
            <w:pPr>
              <w:spacing w:after="0" w:line="240" w:lineRule="auto"/>
              <w:rPr>
                <w:rFonts w:cstheme="minorHAnsi"/>
              </w:rPr>
            </w:pPr>
            <w:r w:rsidRPr="00652773">
              <w:rPr>
                <w:rFonts w:cstheme="minorHAnsi"/>
              </w:rPr>
              <w:t>Co-creation of future research programmes</w:t>
            </w:r>
          </w:p>
          <w:p w:rsidR="00652773" w:rsidRPr="00652773" w:rsidRDefault="00652773" w:rsidP="00A31F66">
            <w:pPr>
              <w:spacing w:after="0" w:line="240" w:lineRule="auto"/>
              <w:rPr>
                <w:rFonts w:cstheme="minorHAnsi"/>
              </w:rPr>
            </w:pPr>
          </w:p>
          <w:p w:rsidR="00652773" w:rsidRPr="00652773" w:rsidRDefault="00652773" w:rsidP="00A31F6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11" w:type="dxa"/>
          </w:tcPr>
          <w:p w:rsidR="00652773" w:rsidRPr="00652773" w:rsidRDefault="00652773" w:rsidP="00A31F66">
            <w:pPr>
              <w:spacing w:after="0" w:line="240" w:lineRule="auto"/>
              <w:rPr>
                <w:rFonts w:cstheme="minorHAnsi"/>
              </w:rPr>
            </w:pPr>
            <w:r w:rsidRPr="00652773">
              <w:rPr>
                <w:rFonts w:cstheme="minorHAnsi"/>
              </w:rPr>
              <w:t>Number of secondments funded &amp; individuals engaged in the activity.</w:t>
            </w:r>
          </w:p>
          <w:p w:rsidR="00652773" w:rsidRPr="001D2C7A" w:rsidRDefault="00652773" w:rsidP="00A31F66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  <w:p w:rsidR="00652773" w:rsidRPr="00652773" w:rsidRDefault="00652773" w:rsidP="00A31F66">
            <w:pPr>
              <w:spacing w:after="0" w:line="240" w:lineRule="auto"/>
              <w:rPr>
                <w:rFonts w:cstheme="minorHAnsi"/>
              </w:rPr>
            </w:pPr>
            <w:r w:rsidRPr="00652773">
              <w:rPr>
                <w:rFonts w:cstheme="minorHAnsi"/>
              </w:rPr>
              <w:t>Contributions from partners (financial and in-kind).</w:t>
            </w:r>
          </w:p>
          <w:p w:rsidR="00652773" w:rsidRPr="001D2C7A" w:rsidRDefault="00652773" w:rsidP="00A31F66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  <w:p w:rsidR="00652773" w:rsidRPr="00652773" w:rsidRDefault="00652773" w:rsidP="00A31F66">
            <w:pPr>
              <w:spacing w:after="0" w:line="240" w:lineRule="auto"/>
              <w:rPr>
                <w:rFonts w:cstheme="minorHAnsi"/>
              </w:rPr>
            </w:pPr>
            <w:r w:rsidRPr="00652773">
              <w:rPr>
                <w:rFonts w:cstheme="minorHAnsi"/>
              </w:rPr>
              <w:t>Communications to promote and share learning (e.g. news stories, presentations)</w:t>
            </w:r>
          </w:p>
          <w:p w:rsidR="00652773" w:rsidRPr="001D2C7A" w:rsidRDefault="00652773" w:rsidP="00A31F66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  <w:p w:rsidR="00652773" w:rsidRPr="00652773" w:rsidRDefault="00652773" w:rsidP="00A31F66">
            <w:pPr>
              <w:spacing w:after="0" w:line="240" w:lineRule="auto"/>
              <w:rPr>
                <w:rFonts w:cstheme="minorHAnsi"/>
              </w:rPr>
            </w:pPr>
            <w:r w:rsidRPr="00652773">
              <w:rPr>
                <w:rFonts w:cstheme="minorHAnsi"/>
              </w:rPr>
              <w:t>Grant applications arising from co-creation of research</w:t>
            </w:r>
          </w:p>
        </w:tc>
      </w:tr>
      <w:tr w:rsidR="002C6677" w:rsidRPr="00652773" w:rsidTr="003F2E19">
        <w:tc>
          <w:tcPr>
            <w:tcW w:w="2310" w:type="dxa"/>
          </w:tcPr>
          <w:p w:rsidR="002C6677" w:rsidRPr="00742BA1" w:rsidRDefault="002C6677" w:rsidP="00031FC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Applications open:</w:t>
            </w:r>
          </w:p>
        </w:tc>
        <w:tc>
          <w:tcPr>
            <w:tcW w:w="6932" w:type="dxa"/>
            <w:gridSpan w:val="3"/>
          </w:tcPr>
          <w:p w:rsidR="002C6677" w:rsidRPr="00652773" w:rsidRDefault="001D2C7A" w:rsidP="00442F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First deadline for applications </w:t>
            </w:r>
            <w:r w:rsidR="00442F9E">
              <w:rPr>
                <w:rFonts w:cstheme="minorHAnsi"/>
              </w:rPr>
              <w:t>5</w:t>
            </w:r>
            <w:r w:rsidR="00442F9E" w:rsidRPr="00442F9E">
              <w:rPr>
                <w:rFonts w:cstheme="minorHAnsi"/>
                <w:vertAlign w:val="superscript"/>
              </w:rPr>
              <w:t>th</w:t>
            </w:r>
            <w:r w:rsidR="00442F9E">
              <w:rPr>
                <w:rFonts w:cstheme="minorHAnsi"/>
              </w:rPr>
              <w:t xml:space="preserve"> October 2018</w:t>
            </w:r>
          </w:p>
        </w:tc>
      </w:tr>
    </w:tbl>
    <w:p w:rsidR="001D2C7A" w:rsidRDefault="001D2C7A" w:rsidP="00031FC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  <w:lang w:val="en"/>
        </w:rPr>
      </w:pPr>
    </w:p>
    <w:p w:rsidR="00A31F66" w:rsidRDefault="009648AE" w:rsidP="00031FC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"/>
        </w:rPr>
      </w:pPr>
      <w:r w:rsidRPr="00742BA1">
        <w:rPr>
          <w:rFonts w:asciiTheme="minorHAnsi" w:hAnsiTheme="minorHAnsi" w:cstheme="minorHAnsi"/>
          <w:b/>
          <w:sz w:val="22"/>
          <w:szCs w:val="22"/>
          <w:lang w:val="en"/>
        </w:rPr>
        <w:t xml:space="preserve">Entrepreneurial Training (ET) </w:t>
      </w:r>
      <w:r w:rsidRPr="00742BA1">
        <w:rPr>
          <w:rFonts w:asciiTheme="minorHAnsi" w:hAnsiTheme="minorHAnsi" w:cstheme="minorHAnsi"/>
          <w:sz w:val="22"/>
          <w:szCs w:val="22"/>
          <w:lang w:val="en"/>
        </w:rPr>
        <w:t>£20,000</w:t>
      </w:r>
      <w:r w:rsidR="000A0A01">
        <w:rPr>
          <w:rFonts w:asciiTheme="minorHAnsi" w:hAnsiTheme="minorHAnsi" w:cstheme="minorHAnsi"/>
          <w:sz w:val="22"/>
          <w:szCs w:val="22"/>
          <w:lang w:val="en"/>
        </w:rPr>
        <w:t xml:space="preserve"> total: </w:t>
      </w:r>
      <w:r w:rsidRPr="00742BA1">
        <w:rPr>
          <w:rFonts w:asciiTheme="minorHAnsi" w:hAnsiTheme="minorHAnsi" w:cstheme="minorHAnsi"/>
          <w:sz w:val="22"/>
          <w:szCs w:val="22"/>
          <w:lang w:val="en"/>
        </w:rPr>
        <w:t>BBSRC funded researchers, includi</w:t>
      </w:r>
      <w:r w:rsidR="004A1DEC">
        <w:rPr>
          <w:rFonts w:asciiTheme="minorHAnsi" w:hAnsiTheme="minorHAnsi" w:cstheme="minorHAnsi"/>
          <w:sz w:val="22"/>
          <w:szCs w:val="22"/>
          <w:lang w:val="en"/>
        </w:rPr>
        <w:t xml:space="preserve">ng the postdoctoral community, </w:t>
      </w:r>
      <w:r w:rsidR="000A0A01">
        <w:rPr>
          <w:rFonts w:asciiTheme="minorHAnsi" w:hAnsiTheme="minorHAnsi" w:cstheme="minorHAnsi"/>
          <w:sz w:val="22"/>
          <w:szCs w:val="22"/>
          <w:lang w:val="en"/>
        </w:rPr>
        <w:t xml:space="preserve">are invited to express their interest in an expanded training programme </w:t>
      </w:r>
      <w:r w:rsidRPr="00742BA1">
        <w:rPr>
          <w:rFonts w:asciiTheme="minorHAnsi" w:hAnsiTheme="minorHAnsi" w:cstheme="minorHAnsi"/>
          <w:sz w:val="22"/>
          <w:szCs w:val="22"/>
          <w:lang w:val="en"/>
        </w:rPr>
        <w:t xml:space="preserve">with a particular focus upon entrepreneurship and tackling challenges around SME engagement. </w:t>
      </w:r>
    </w:p>
    <w:p w:rsidR="000A0A01" w:rsidRPr="000A0A01" w:rsidRDefault="000A0A01" w:rsidP="00031FC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0"/>
          <w:szCs w:val="10"/>
          <w:lang w:val="en"/>
        </w:rPr>
      </w:pPr>
    </w:p>
    <w:tbl>
      <w:tblPr>
        <w:tblW w:w="9242" w:type="dxa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Layout w:type="fixed"/>
        <w:tblCellMar>
          <w:left w:w="82" w:type="dxa"/>
          <w:right w:w="82" w:type="dxa"/>
        </w:tblCellMar>
        <w:tblLook w:val="04A0" w:firstRow="1" w:lastRow="0" w:firstColumn="1" w:lastColumn="0" w:noHBand="0" w:noVBand="1"/>
      </w:tblPr>
      <w:tblGrid>
        <w:gridCol w:w="2310"/>
        <w:gridCol w:w="2311"/>
        <w:gridCol w:w="2310"/>
        <w:gridCol w:w="2311"/>
      </w:tblGrid>
      <w:tr w:rsidR="00652773" w:rsidRPr="00652773" w:rsidTr="007038BD">
        <w:tc>
          <w:tcPr>
            <w:tcW w:w="2310" w:type="dxa"/>
          </w:tcPr>
          <w:p w:rsidR="00652773" w:rsidRPr="00652773" w:rsidRDefault="00652773" w:rsidP="00031FC6">
            <w:pPr>
              <w:spacing w:after="0" w:line="240" w:lineRule="auto"/>
              <w:rPr>
                <w:rFonts w:cstheme="minorHAnsi"/>
                <w:b/>
              </w:rPr>
            </w:pPr>
            <w:r w:rsidRPr="00652773">
              <w:rPr>
                <w:rFonts w:cstheme="minorHAnsi"/>
                <w:b/>
              </w:rPr>
              <w:t>Funding mechanism</w:t>
            </w:r>
          </w:p>
        </w:tc>
        <w:tc>
          <w:tcPr>
            <w:tcW w:w="2311" w:type="dxa"/>
          </w:tcPr>
          <w:p w:rsidR="00652773" w:rsidRPr="00652773" w:rsidRDefault="00E94E43" w:rsidP="00031FC6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Aim</w:t>
            </w:r>
          </w:p>
        </w:tc>
        <w:tc>
          <w:tcPr>
            <w:tcW w:w="2310" w:type="dxa"/>
          </w:tcPr>
          <w:p w:rsidR="00652773" w:rsidRPr="00652773" w:rsidRDefault="00652773" w:rsidP="00031FC6">
            <w:pPr>
              <w:spacing w:after="0" w:line="240" w:lineRule="auto"/>
              <w:rPr>
                <w:rFonts w:cstheme="minorHAnsi"/>
                <w:b/>
              </w:rPr>
            </w:pPr>
            <w:r w:rsidRPr="00652773">
              <w:rPr>
                <w:rFonts w:cstheme="minorHAnsi"/>
                <w:b/>
              </w:rPr>
              <w:t>Outcome</w:t>
            </w:r>
          </w:p>
        </w:tc>
        <w:tc>
          <w:tcPr>
            <w:tcW w:w="2311" w:type="dxa"/>
          </w:tcPr>
          <w:p w:rsidR="00652773" w:rsidRPr="00652773" w:rsidRDefault="00652773" w:rsidP="00031FC6">
            <w:pPr>
              <w:spacing w:after="0" w:line="240" w:lineRule="auto"/>
              <w:rPr>
                <w:rFonts w:cstheme="minorHAnsi"/>
                <w:b/>
              </w:rPr>
            </w:pPr>
            <w:r w:rsidRPr="00652773">
              <w:rPr>
                <w:rFonts w:cstheme="minorHAnsi"/>
                <w:b/>
              </w:rPr>
              <w:t>KPI/KSM</w:t>
            </w:r>
          </w:p>
        </w:tc>
      </w:tr>
      <w:tr w:rsidR="00652773" w:rsidRPr="00652773" w:rsidTr="00652773">
        <w:tc>
          <w:tcPr>
            <w:tcW w:w="2310" w:type="dxa"/>
          </w:tcPr>
          <w:p w:rsidR="00652773" w:rsidRPr="00652773" w:rsidRDefault="00652773" w:rsidP="00031FC6">
            <w:pPr>
              <w:spacing w:after="0" w:line="240" w:lineRule="auto"/>
              <w:rPr>
                <w:rFonts w:cstheme="minorHAnsi"/>
              </w:rPr>
            </w:pPr>
            <w:r w:rsidRPr="00652773">
              <w:rPr>
                <w:rFonts w:cstheme="minorHAnsi"/>
              </w:rPr>
              <w:lastRenderedPageBreak/>
              <w:t>Entrepreneurial Training</w:t>
            </w:r>
          </w:p>
        </w:tc>
        <w:tc>
          <w:tcPr>
            <w:tcW w:w="2311" w:type="dxa"/>
          </w:tcPr>
          <w:p w:rsidR="00652773" w:rsidRPr="00652773" w:rsidRDefault="00652773" w:rsidP="00031FC6">
            <w:pPr>
              <w:spacing w:after="0" w:line="240" w:lineRule="auto"/>
              <w:rPr>
                <w:rFonts w:cstheme="minorHAnsi"/>
              </w:rPr>
            </w:pPr>
            <w:r w:rsidRPr="00652773">
              <w:rPr>
                <w:rFonts w:cstheme="minorHAnsi"/>
              </w:rPr>
              <w:t>We will train up to 50 academic and research</w:t>
            </w:r>
            <w:r w:rsidR="00E94E43">
              <w:rPr>
                <w:rFonts w:cstheme="minorHAnsi"/>
              </w:rPr>
              <w:t>- associated</w:t>
            </w:r>
            <w:r w:rsidRPr="00652773">
              <w:rPr>
                <w:rFonts w:cstheme="minorHAnsi"/>
              </w:rPr>
              <w:t xml:space="preserve"> staff</w:t>
            </w:r>
            <w:r w:rsidR="00E94E43">
              <w:rPr>
                <w:rFonts w:cstheme="minorHAnsi"/>
              </w:rPr>
              <w:t xml:space="preserve"> through expanded existing training and novel programmes</w:t>
            </w:r>
            <w:r w:rsidRPr="00652773">
              <w:rPr>
                <w:rFonts w:cstheme="minorHAnsi"/>
              </w:rPr>
              <w:t xml:space="preserve"> </w:t>
            </w:r>
          </w:p>
        </w:tc>
        <w:tc>
          <w:tcPr>
            <w:tcW w:w="2310" w:type="dxa"/>
          </w:tcPr>
          <w:p w:rsidR="00652773" w:rsidRPr="00652773" w:rsidRDefault="00652773" w:rsidP="00031FC6">
            <w:pPr>
              <w:spacing w:after="0" w:line="240" w:lineRule="auto"/>
              <w:rPr>
                <w:rFonts w:cstheme="minorHAnsi"/>
              </w:rPr>
            </w:pPr>
            <w:r w:rsidRPr="00652773">
              <w:rPr>
                <w:rFonts w:cstheme="minorHAnsi"/>
              </w:rPr>
              <w:t>Deeper understanding of entrepreneurship, market analysis, stakeholder engagement and networking among members of BBSRC funded staff</w:t>
            </w:r>
          </w:p>
        </w:tc>
        <w:tc>
          <w:tcPr>
            <w:tcW w:w="2311" w:type="dxa"/>
          </w:tcPr>
          <w:p w:rsidR="00652773" w:rsidRPr="00652773" w:rsidRDefault="00652773" w:rsidP="00031FC6">
            <w:pPr>
              <w:spacing w:after="0" w:line="240" w:lineRule="auto"/>
              <w:rPr>
                <w:rFonts w:cstheme="minorHAnsi"/>
              </w:rPr>
            </w:pPr>
            <w:r w:rsidRPr="00652773">
              <w:rPr>
                <w:rFonts w:cstheme="minorHAnsi"/>
              </w:rPr>
              <w:t>Number of academic and research staff engaged in training</w:t>
            </w:r>
          </w:p>
          <w:p w:rsidR="00652773" w:rsidRPr="00E94E43" w:rsidRDefault="00652773" w:rsidP="00031FC6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  <w:p w:rsidR="00652773" w:rsidRPr="00652773" w:rsidRDefault="00652773" w:rsidP="00031FC6">
            <w:pPr>
              <w:spacing w:after="0" w:line="240" w:lineRule="auto"/>
              <w:rPr>
                <w:rFonts w:cstheme="minorHAnsi"/>
              </w:rPr>
            </w:pPr>
            <w:r w:rsidRPr="00652773">
              <w:rPr>
                <w:rFonts w:cstheme="minorHAnsi"/>
              </w:rPr>
              <w:t>Number of staff making applications to FOF, BEF, PEP</w:t>
            </w:r>
          </w:p>
        </w:tc>
      </w:tr>
      <w:tr w:rsidR="002C6677" w:rsidRPr="00652773" w:rsidTr="00276C8F">
        <w:tc>
          <w:tcPr>
            <w:tcW w:w="2310" w:type="dxa"/>
          </w:tcPr>
          <w:p w:rsidR="002C6677" w:rsidRPr="00742BA1" w:rsidRDefault="002C6677" w:rsidP="00031FC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Applications open:</w:t>
            </w:r>
          </w:p>
        </w:tc>
        <w:tc>
          <w:tcPr>
            <w:tcW w:w="6932" w:type="dxa"/>
            <w:gridSpan w:val="3"/>
          </w:tcPr>
          <w:p w:rsidR="002C6677" w:rsidRPr="00652773" w:rsidRDefault="00E94E43" w:rsidP="00507A2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Expressions of interest should be sent to </w:t>
            </w:r>
            <w:hyperlink r:id="rId8" w:history="1">
              <w:r w:rsidRPr="00E94E43">
                <w:rPr>
                  <w:rStyle w:val="Hyperlink"/>
                  <w:rFonts w:cstheme="minorHAnsi"/>
                </w:rPr>
                <w:t>Michelle Read</w:t>
              </w:r>
            </w:hyperlink>
            <w:r>
              <w:rPr>
                <w:rFonts w:cstheme="minorHAnsi"/>
              </w:rPr>
              <w:t xml:space="preserve"> </w:t>
            </w:r>
          </w:p>
        </w:tc>
      </w:tr>
    </w:tbl>
    <w:p w:rsidR="00E94E43" w:rsidRDefault="00E94E43" w:rsidP="00031FC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  <w:lang w:val="en"/>
        </w:rPr>
      </w:pPr>
    </w:p>
    <w:p w:rsidR="00E94E43" w:rsidRDefault="009648AE" w:rsidP="00031FC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"/>
        </w:rPr>
      </w:pPr>
      <w:r w:rsidRPr="00742BA1">
        <w:rPr>
          <w:rFonts w:asciiTheme="minorHAnsi" w:hAnsiTheme="minorHAnsi" w:cstheme="minorHAnsi"/>
          <w:b/>
          <w:sz w:val="22"/>
          <w:szCs w:val="22"/>
          <w:lang w:val="en"/>
        </w:rPr>
        <w:t>Public Engagement Funds</w:t>
      </w:r>
      <w:r w:rsidRPr="00742BA1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Pr="00742BA1">
        <w:rPr>
          <w:rFonts w:asciiTheme="minorHAnsi" w:hAnsiTheme="minorHAnsi" w:cstheme="minorHAnsi"/>
          <w:b/>
          <w:sz w:val="22"/>
          <w:szCs w:val="22"/>
          <w:lang w:val="en"/>
        </w:rPr>
        <w:t>(PEF)</w:t>
      </w:r>
      <w:r w:rsidR="00E94E43">
        <w:rPr>
          <w:rFonts w:asciiTheme="minorHAnsi" w:hAnsiTheme="minorHAnsi" w:cstheme="minorHAnsi"/>
          <w:sz w:val="22"/>
          <w:szCs w:val="22"/>
          <w:lang w:val="en"/>
        </w:rPr>
        <w:t xml:space="preserve"> £10,000 total:</w:t>
      </w:r>
      <w:r w:rsidRPr="00742BA1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E94E43">
        <w:rPr>
          <w:rFonts w:asciiTheme="minorHAnsi" w:hAnsiTheme="minorHAnsi" w:cstheme="minorHAnsi"/>
          <w:sz w:val="22"/>
          <w:szCs w:val="22"/>
          <w:lang w:val="en"/>
        </w:rPr>
        <w:t xml:space="preserve">We are enhancing the funding available to engage the public with BBSRC-supported research, working with </w:t>
      </w:r>
      <w:hyperlink r:id="rId9" w:history="1">
        <w:r w:rsidR="00E94E43" w:rsidRPr="00E94E43">
          <w:rPr>
            <w:rStyle w:val="Hyperlink"/>
            <w:rFonts w:asciiTheme="minorHAnsi" w:hAnsiTheme="minorHAnsi" w:cstheme="minorHAnsi"/>
            <w:sz w:val="22"/>
            <w:szCs w:val="22"/>
            <w:lang w:val="en"/>
          </w:rPr>
          <w:t>the University’s Public Engagement with Research Team</w:t>
        </w:r>
      </w:hyperlink>
      <w:r w:rsidR="00E94E43">
        <w:rPr>
          <w:rFonts w:asciiTheme="minorHAnsi" w:hAnsiTheme="minorHAnsi" w:cstheme="minorHAnsi"/>
          <w:sz w:val="22"/>
          <w:szCs w:val="22"/>
          <w:lang w:val="en"/>
        </w:rPr>
        <w:t xml:space="preserve">. </w:t>
      </w:r>
    </w:p>
    <w:p w:rsidR="00E94E43" w:rsidRPr="00E94E43" w:rsidRDefault="00E94E43" w:rsidP="00031FC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0"/>
          <w:szCs w:val="10"/>
          <w:lang w:val="en"/>
        </w:rPr>
      </w:pPr>
    </w:p>
    <w:tbl>
      <w:tblPr>
        <w:tblW w:w="9242" w:type="dxa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Layout w:type="fixed"/>
        <w:tblCellMar>
          <w:left w:w="82" w:type="dxa"/>
          <w:right w:w="82" w:type="dxa"/>
        </w:tblCellMar>
        <w:tblLook w:val="04A0" w:firstRow="1" w:lastRow="0" w:firstColumn="1" w:lastColumn="0" w:noHBand="0" w:noVBand="1"/>
      </w:tblPr>
      <w:tblGrid>
        <w:gridCol w:w="2310"/>
        <w:gridCol w:w="2311"/>
        <w:gridCol w:w="2310"/>
        <w:gridCol w:w="2311"/>
      </w:tblGrid>
      <w:tr w:rsidR="00652773" w:rsidRPr="00652773" w:rsidTr="007038BD">
        <w:tc>
          <w:tcPr>
            <w:tcW w:w="2310" w:type="dxa"/>
          </w:tcPr>
          <w:p w:rsidR="00652773" w:rsidRPr="00652773" w:rsidRDefault="00652773" w:rsidP="00031FC6">
            <w:pPr>
              <w:spacing w:after="0" w:line="240" w:lineRule="auto"/>
              <w:rPr>
                <w:rFonts w:cstheme="minorHAnsi"/>
                <w:b/>
              </w:rPr>
            </w:pPr>
            <w:r w:rsidRPr="00652773">
              <w:rPr>
                <w:rFonts w:cstheme="minorHAnsi"/>
                <w:b/>
              </w:rPr>
              <w:t>Funding mechanism</w:t>
            </w:r>
          </w:p>
        </w:tc>
        <w:tc>
          <w:tcPr>
            <w:tcW w:w="2311" w:type="dxa"/>
          </w:tcPr>
          <w:p w:rsidR="00652773" w:rsidRPr="00652773" w:rsidRDefault="00E94E43" w:rsidP="00031FC6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Aim</w:t>
            </w:r>
          </w:p>
        </w:tc>
        <w:tc>
          <w:tcPr>
            <w:tcW w:w="2310" w:type="dxa"/>
          </w:tcPr>
          <w:p w:rsidR="00652773" w:rsidRPr="00652773" w:rsidRDefault="00652773" w:rsidP="00031FC6">
            <w:pPr>
              <w:spacing w:after="0" w:line="240" w:lineRule="auto"/>
              <w:rPr>
                <w:rFonts w:cstheme="minorHAnsi"/>
                <w:b/>
              </w:rPr>
            </w:pPr>
            <w:r w:rsidRPr="00652773">
              <w:rPr>
                <w:rFonts w:cstheme="minorHAnsi"/>
                <w:b/>
              </w:rPr>
              <w:t>Outcome</w:t>
            </w:r>
          </w:p>
        </w:tc>
        <w:tc>
          <w:tcPr>
            <w:tcW w:w="2311" w:type="dxa"/>
          </w:tcPr>
          <w:p w:rsidR="00652773" w:rsidRPr="00652773" w:rsidRDefault="00652773" w:rsidP="00031FC6">
            <w:pPr>
              <w:spacing w:after="0" w:line="240" w:lineRule="auto"/>
              <w:rPr>
                <w:rFonts w:cstheme="minorHAnsi"/>
                <w:b/>
              </w:rPr>
            </w:pPr>
            <w:r w:rsidRPr="00652773">
              <w:rPr>
                <w:rFonts w:cstheme="minorHAnsi"/>
                <w:b/>
              </w:rPr>
              <w:t>KPI/KSM</w:t>
            </w:r>
          </w:p>
        </w:tc>
      </w:tr>
      <w:tr w:rsidR="00652773" w:rsidRPr="00652773" w:rsidTr="00652773">
        <w:tc>
          <w:tcPr>
            <w:tcW w:w="2310" w:type="dxa"/>
          </w:tcPr>
          <w:p w:rsidR="00652773" w:rsidRPr="00652773" w:rsidRDefault="00652773" w:rsidP="00031FC6">
            <w:pPr>
              <w:spacing w:after="0" w:line="240" w:lineRule="auto"/>
              <w:rPr>
                <w:rFonts w:cstheme="minorHAnsi"/>
              </w:rPr>
            </w:pPr>
            <w:r w:rsidRPr="00652773">
              <w:rPr>
                <w:rFonts w:cstheme="minorHAnsi"/>
              </w:rPr>
              <w:t>Public Engagement Funds</w:t>
            </w:r>
          </w:p>
        </w:tc>
        <w:tc>
          <w:tcPr>
            <w:tcW w:w="2311" w:type="dxa"/>
          </w:tcPr>
          <w:p w:rsidR="00652773" w:rsidRDefault="00E94E43" w:rsidP="00031FC6">
            <w:pPr>
              <w:spacing w:after="0" w:line="240" w:lineRule="auto"/>
              <w:rPr>
                <w:rStyle w:val="Hyperlink"/>
                <w:rFonts w:cstheme="minorHAnsi"/>
              </w:rPr>
            </w:pPr>
            <w:r>
              <w:rPr>
                <w:rFonts w:cstheme="minorHAnsi"/>
              </w:rPr>
              <w:t xml:space="preserve">Supporting new PER activities specifically related to BBSRC research. Applications should go via </w:t>
            </w:r>
            <w:hyperlink r:id="rId10" w:history="1">
              <w:r w:rsidRPr="00E94E43">
                <w:rPr>
                  <w:rStyle w:val="Hyperlink"/>
                  <w:rFonts w:cstheme="minorHAnsi"/>
                </w:rPr>
                <w:t>the PER Team’s existing process</w:t>
              </w:r>
              <w:r w:rsidR="00652773" w:rsidRPr="00E94E43">
                <w:rPr>
                  <w:rStyle w:val="Hyperlink"/>
                  <w:rFonts w:cstheme="minorHAnsi"/>
                </w:rPr>
                <w:t xml:space="preserve"> </w:t>
              </w:r>
              <w:r w:rsidRPr="00E94E43">
                <w:rPr>
                  <w:rStyle w:val="Hyperlink"/>
                  <w:rFonts w:cstheme="minorHAnsi"/>
                </w:rPr>
                <w:t>for supporting new activities.</w:t>
              </w:r>
            </w:hyperlink>
          </w:p>
          <w:p w:rsidR="003E6182" w:rsidRPr="00652773" w:rsidRDefault="003E6182" w:rsidP="00031FC6">
            <w:pPr>
              <w:spacing w:after="0" w:line="240" w:lineRule="auto"/>
              <w:rPr>
                <w:rFonts w:cstheme="minorHAnsi"/>
              </w:rPr>
            </w:pPr>
            <w:r w:rsidRPr="003E6182">
              <w:t xml:space="preserve">The public engagement team can be contacted at </w:t>
            </w:r>
            <w:hyperlink r:id="rId11" w:history="1">
              <w:r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engage@contacts.bham.ac.uk</w:t>
              </w:r>
            </w:hyperlink>
          </w:p>
        </w:tc>
        <w:tc>
          <w:tcPr>
            <w:tcW w:w="2310" w:type="dxa"/>
          </w:tcPr>
          <w:p w:rsidR="00652773" w:rsidRPr="00652773" w:rsidRDefault="00652773" w:rsidP="00031FC6">
            <w:pPr>
              <w:spacing w:after="0" w:line="240" w:lineRule="auto"/>
              <w:rPr>
                <w:rFonts w:cstheme="minorHAnsi"/>
              </w:rPr>
            </w:pPr>
            <w:r w:rsidRPr="00652773">
              <w:rPr>
                <w:rFonts w:cstheme="minorHAnsi"/>
              </w:rPr>
              <w:t>Increased engagement of the public with BBSRC funded research</w:t>
            </w:r>
          </w:p>
          <w:p w:rsidR="00652773" w:rsidRPr="00E94E43" w:rsidRDefault="00652773" w:rsidP="00031FC6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  <w:p w:rsidR="00652773" w:rsidRPr="00652773" w:rsidRDefault="00652773" w:rsidP="00031FC6">
            <w:pPr>
              <w:spacing w:after="0" w:line="240" w:lineRule="auto"/>
              <w:rPr>
                <w:rFonts w:cstheme="minorHAnsi"/>
              </w:rPr>
            </w:pPr>
            <w:r w:rsidRPr="00652773">
              <w:rPr>
                <w:rFonts w:cstheme="minorHAnsi"/>
              </w:rPr>
              <w:t xml:space="preserve">Embedding a culture of public engagement within our researchers, particularly ECRs </w:t>
            </w:r>
          </w:p>
        </w:tc>
        <w:tc>
          <w:tcPr>
            <w:tcW w:w="2311" w:type="dxa"/>
          </w:tcPr>
          <w:p w:rsidR="00652773" w:rsidRPr="00652773" w:rsidRDefault="00652773" w:rsidP="00031FC6">
            <w:pPr>
              <w:spacing w:after="0" w:line="240" w:lineRule="auto"/>
              <w:rPr>
                <w:rFonts w:cstheme="minorHAnsi"/>
              </w:rPr>
            </w:pPr>
            <w:r w:rsidRPr="00652773">
              <w:rPr>
                <w:rFonts w:cstheme="minorHAnsi"/>
              </w:rPr>
              <w:t>Number of members of the public engaged with BBSRC funded research through events/activities</w:t>
            </w:r>
          </w:p>
          <w:p w:rsidR="00652773" w:rsidRPr="00E94E43" w:rsidRDefault="00652773" w:rsidP="00031FC6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  <w:p w:rsidR="00652773" w:rsidRPr="00652773" w:rsidRDefault="00652773" w:rsidP="00031FC6">
            <w:pPr>
              <w:spacing w:after="0" w:line="240" w:lineRule="auto"/>
              <w:rPr>
                <w:rFonts w:cstheme="minorHAnsi"/>
              </w:rPr>
            </w:pPr>
            <w:r w:rsidRPr="00652773">
              <w:rPr>
                <w:rFonts w:cstheme="minorHAnsi"/>
              </w:rPr>
              <w:t>Number of researchers engaged in public engagement activities</w:t>
            </w:r>
          </w:p>
        </w:tc>
      </w:tr>
      <w:tr w:rsidR="002C6677" w:rsidRPr="00652773" w:rsidTr="006D64C3">
        <w:tc>
          <w:tcPr>
            <w:tcW w:w="2310" w:type="dxa"/>
          </w:tcPr>
          <w:p w:rsidR="002C6677" w:rsidRPr="00742BA1" w:rsidRDefault="002C6677" w:rsidP="00031FC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Applications open:</w:t>
            </w:r>
          </w:p>
        </w:tc>
        <w:tc>
          <w:tcPr>
            <w:tcW w:w="6932" w:type="dxa"/>
            <w:gridSpan w:val="3"/>
          </w:tcPr>
          <w:p w:rsidR="002C6677" w:rsidRPr="00652773" w:rsidRDefault="00E94E43" w:rsidP="00031FC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Open call from </w:t>
            </w:r>
            <w:r w:rsidR="00442F9E">
              <w:rPr>
                <w:rFonts w:cstheme="minorHAnsi"/>
              </w:rPr>
              <w:t>September</w:t>
            </w:r>
            <w:r>
              <w:rPr>
                <w:rFonts w:cstheme="minorHAnsi"/>
              </w:rPr>
              <w:t xml:space="preserve"> 2018</w:t>
            </w:r>
          </w:p>
        </w:tc>
      </w:tr>
    </w:tbl>
    <w:p w:rsidR="00742BA1" w:rsidRPr="00742BA1" w:rsidRDefault="00742BA1" w:rsidP="00031FC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"/>
        </w:rPr>
      </w:pPr>
    </w:p>
    <w:p w:rsidR="004A1DEC" w:rsidRDefault="00315B0B" w:rsidP="00031FC6">
      <w:pPr>
        <w:spacing w:after="0" w:line="240" w:lineRule="auto"/>
        <w:rPr>
          <w:rFonts w:cstheme="minorHAnsi"/>
          <w:lang w:val="en"/>
        </w:rPr>
      </w:pPr>
      <w:r w:rsidRPr="00742BA1">
        <w:rPr>
          <w:rFonts w:cstheme="minorHAnsi"/>
          <w:lang w:val="en"/>
        </w:rPr>
        <w:t xml:space="preserve">Award of funds will be made on the following criteria: </w:t>
      </w:r>
    </w:p>
    <w:p w:rsidR="004A1DEC" w:rsidRDefault="00315B0B" w:rsidP="00031FC6">
      <w:pPr>
        <w:spacing w:after="0" w:line="240" w:lineRule="auto"/>
        <w:rPr>
          <w:rFonts w:cstheme="minorHAnsi"/>
          <w:lang w:val="en"/>
        </w:rPr>
      </w:pPr>
      <w:r w:rsidRPr="00742BA1">
        <w:rPr>
          <w:rFonts w:cstheme="minorHAnsi"/>
          <w:lang w:val="en"/>
        </w:rPr>
        <w:t xml:space="preserve">1) </w:t>
      </w:r>
      <w:proofErr w:type="gramStart"/>
      <w:r w:rsidRPr="00742BA1">
        <w:rPr>
          <w:rFonts w:cstheme="minorHAnsi"/>
          <w:lang w:val="en"/>
        </w:rPr>
        <w:t>excellence</w:t>
      </w:r>
      <w:proofErr w:type="gramEnd"/>
      <w:r w:rsidRPr="00742BA1">
        <w:rPr>
          <w:rFonts w:cstheme="minorHAnsi"/>
          <w:lang w:val="en"/>
        </w:rPr>
        <w:t xml:space="preserve"> and innovation; </w:t>
      </w:r>
    </w:p>
    <w:p w:rsidR="004A1DEC" w:rsidRDefault="00315B0B" w:rsidP="00031FC6">
      <w:pPr>
        <w:spacing w:after="0" w:line="240" w:lineRule="auto"/>
        <w:rPr>
          <w:rFonts w:cstheme="minorHAnsi"/>
          <w:lang w:val="en"/>
        </w:rPr>
      </w:pPr>
      <w:r w:rsidRPr="00742BA1">
        <w:rPr>
          <w:rFonts w:cstheme="minorHAnsi"/>
          <w:lang w:val="en"/>
        </w:rPr>
        <w:t xml:space="preserve">2) </w:t>
      </w:r>
      <w:proofErr w:type="gramStart"/>
      <w:r w:rsidRPr="00742BA1">
        <w:rPr>
          <w:rFonts w:cstheme="minorHAnsi"/>
          <w:lang w:val="en"/>
        </w:rPr>
        <w:t>potential</w:t>
      </w:r>
      <w:proofErr w:type="gramEnd"/>
      <w:r w:rsidRPr="00742BA1">
        <w:rPr>
          <w:rFonts w:cstheme="minorHAnsi"/>
          <w:lang w:val="en"/>
        </w:rPr>
        <w:t xml:space="preserve"> for impact; </w:t>
      </w:r>
    </w:p>
    <w:p w:rsidR="004A1DEC" w:rsidRDefault="00315B0B" w:rsidP="00031FC6">
      <w:pPr>
        <w:spacing w:after="0" w:line="240" w:lineRule="auto"/>
        <w:rPr>
          <w:rFonts w:cstheme="minorHAnsi"/>
          <w:lang w:val="en"/>
        </w:rPr>
      </w:pPr>
      <w:r w:rsidRPr="00742BA1">
        <w:rPr>
          <w:rFonts w:cstheme="minorHAnsi"/>
          <w:lang w:val="en"/>
        </w:rPr>
        <w:t xml:space="preserve">3) </w:t>
      </w:r>
      <w:proofErr w:type="gramStart"/>
      <w:r w:rsidRPr="00742BA1">
        <w:rPr>
          <w:rFonts w:cstheme="minorHAnsi"/>
          <w:lang w:val="en"/>
        </w:rPr>
        <w:t>user</w:t>
      </w:r>
      <w:proofErr w:type="gramEnd"/>
      <w:r w:rsidRPr="00742BA1">
        <w:rPr>
          <w:rFonts w:cstheme="minorHAnsi"/>
          <w:lang w:val="en"/>
        </w:rPr>
        <w:t xml:space="preserve"> engagement including associated leverage; </w:t>
      </w:r>
    </w:p>
    <w:p w:rsidR="004A1DEC" w:rsidRDefault="00315B0B" w:rsidP="00031FC6">
      <w:pPr>
        <w:spacing w:after="0" w:line="240" w:lineRule="auto"/>
        <w:rPr>
          <w:rFonts w:cstheme="minorHAnsi"/>
          <w:lang w:val="en"/>
        </w:rPr>
      </w:pPr>
      <w:r w:rsidRPr="00742BA1">
        <w:rPr>
          <w:rFonts w:cstheme="minorHAnsi"/>
          <w:lang w:val="en"/>
        </w:rPr>
        <w:t xml:space="preserve">4) </w:t>
      </w:r>
      <w:proofErr w:type="gramStart"/>
      <w:r w:rsidRPr="00742BA1">
        <w:rPr>
          <w:rFonts w:cstheme="minorHAnsi"/>
          <w:lang w:val="en"/>
        </w:rPr>
        <w:t>feasibility</w:t>
      </w:r>
      <w:proofErr w:type="gramEnd"/>
      <w:r w:rsidRPr="00742BA1">
        <w:rPr>
          <w:rFonts w:cstheme="minorHAnsi"/>
          <w:lang w:val="en"/>
        </w:rPr>
        <w:t xml:space="preserve">; and </w:t>
      </w:r>
    </w:p>
    <w:p w:rsidR="00315B0B" w:rsidRPr="00742BA1" w:rsidRDefault="00315B0B" w:rsidP="00031FC6">
      <w:pPr>
        <w:spacing w:after="0" w:line="240" w:lineRule="auto"/>
        <w:rPr>
          <w:rFonts w:cstheme="minorHAnsi"/>
          <w:lang w:val="en" w:eastAsia="en-GB"/>
        </w:rPr>
      </w:pPr>
      <w:r w:rsidRPr="00742BA1">
        <w:rPr>
          <w:rFonts w:cstheme="minorHAnsi"/>
          <w:lang w:val="en"/>
        </w:rPr>
        <w:t xml:space="preserve">5) </w:t>
      </w:r>
      <w:proofErr w:type="gramStart"/>
      <w:r w:rsidRPr="00742BA1">
        <w:rPr>
          <w:rFonts w:cstheme="minorHAnsi"/>
          <w:lang w:val="en"/>
        </w:rPr>
        <w:t>excellence</w:t>
      </w:r>
      <w:proofErr w:type="gramEnd"/>
      <w:r w:rsidRPr="00742BA1">
        <w:rPr>
          <w:rFonts w:cstheme="minorHAnsi"/>
          <w:lang w:val="en"/>
        </w:rPr>
        <w:t xml:space="preserve"> of underpinning research.</w:t>
      </w:r>
    </w:p>
    <w:p w:rsidR="00E94E43" w:rsidRDefault="00E94E43" w:rsidP="00031FC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"/>
        </w:rPr>
      </w:pPr>
    </w:p>
    <w:p w:rsidR="004A1DEC" w:rsidRPr="00742BA1" w:rsidRDefault="004A1DEC" w:rsidP="00031FC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"/>
        </w:rPr>
      </w:pPr>
      <w:r w:rsidRPr="00742BA1">
        <w:rPr>
          <w:rFonts w:asciiTheme="minorHAnsi" w:hAnsiTheme="minorHAnsi" w:cstheme="minorHAnsi"/>
          <w:sz w:val="22"/>
          <w:szCs w:val="22"/>
          <w:lang w:val="en"/>
        </w:rPr>
        <w:t>All projects will be required to provide a clear description of outputs and to identify a set of Key Performance Indicators (KPIs)</w:t>
      </w:r>
      <w:r w:rsidR="00FD50EF">
        <w:rPr>
          <w:rFonts w:asciiTheme="minorHAnsi" w:hAnsiTheme="minorHAnsi" w:cstheme="minorHAnsi"/>
          <w:sz w:val="22"/>
          <w:szCs w:val="22"/>
          <w:lang w:val="en"/>
        </w:rPr>
        <w:t xml:space="preserve"> related to the overarching institutional ones noted in the guidance</w:t>
      </w:r>
      <w:r w:rsidRPr="00742BA1">
        <w:rPr>
          <w:rFonts w:asciiTheme="minorHAnsi" w:hAnsiTheme="minorHAnsi" w:cstheme="minorHAnsi"/>
          <w:sz w:val="22"/>
          <w:szCs w:val="22"/>
          <w:lang w:val="en"/>
        </w:rPr>
        <w:t xml:space="preserve">. The use of PURE for recording outputs </w:t>
      </w:r>
      <w:r>
        <w:rPr>
          <w:rFonts w:asciiTheme="minorHAnsi" w:hAnsiTheme="minorHAnsi" w:cstheme="minorHAnsi"/>
          <w:sz w:val="22"/>
          <w:szCs w:val="22"/>
          <w:lang w:val="en"/>
        </w:rPr>
        <w:t>is</w:t>
      </w:r>
      <w:r w:rsidRPr="00742BA1">
        <w:rPr>
          <w:rFonts w:asciiTheme="minorHAnsi" w:hAnsiTheme="minorHAnsi" w:cstheme="minorHAnsi"/>
          <w:sz w:val="22"/>
          <w:szCs w:val="22"/>
          <w:lang w:val="en"/>
        </w:rPr>
        <w:t xml:space="preserve"> mandatory for IAA funded projects.  Account beneficiaries will be required to submit a report, detailing expenditure use and outcomes of the activity. </w:t>
      </w:r>
    </w:p>
    <w:p w:rsidR="00E94E43" w:rsidRDefault="00E94E43" w:rsidP="00031FC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"/>
        </w:rPr>
      </w:pPr>
    </w:p>
    <w:p w:rsidR="00A31F66" w:rsidRPr="00A31F66" w:rsidRDefault="00A31F66" w:rsidP="00031FC6">
      <w:pPr>
        <w:spacing w:after="0" w:line="240" w:lineRule="auto"/>
        <w:rPr>
          <w:rFonts w:cstheme="minorHAnsi"/>
          <w:b/>
        </w:rPr>
      </w:pPr>
      <w:r w:rsidRPr="00A31F66">
        <w:rPr>
          <w:rFonts w:cstheme="minorHAnsi"/>
          <w:b/>
        </w:rPr>
        <w:t>Funding oversight and management</w:t>
      </w:r>
    </w:p>
    <w:p w:rsidR="00A31F66" w:rsidRDefault="00A31F66" w:rsidP="00031FC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All immediate queries should be sent via </w:t>
      </w:r>
      <w:hyperlink r:id="rId12" w:history="1">
        <w:r w:rsidRPr="00A31F66">
          <w:rPr>
            <w:rStyle w:val="Hyperlink"/>
            <w:rFonts w:cstheme="minorHAnsi"/>
          </w:rPr>
          <w:t>Michelle Read</w:t>
        </w:r>
      </w:hyperlink>
      <w:r>
        <w:rPr>
          <w:rFonts w:cstheme="minorHAnsi"/>
        </w:rPr>
        <w:t>, but please talk to the LES Research Support Office for further advice where relevant.</w:t>
      </w:r>
    </w:p>
    <w:p w:rsidR="00A31F66" w:rsidRDefault="00A31F66" w:rsidP="00031FC6">
      <w:pPr>
        <w:spacing w:after="0" w:line="240" w:lineRule="auto"/>
        <w:rPr>
          <w:rFonts w:cstheme="minorHAnsi"/>
        </w:rPr>
      </w:pPr>
    </w:p>
    <w:p w:rsidR="00A31F66" w:rsidRPr="00742BA1" w:rsidRDefault="00A31F66" w:rsidP="00031FC6">
      <w:pPr>
        <w:spacing w:after="0" w:line="240" w:lineRule="auto"/>
        <w:rPr>
          <w:rFonts w:cstheme="minorHAnsi"/>
        </w:rPr>
      </w:pPr>
      <w:r>
        <w:rPr>
          <w:rFonts w:cstheme="minorHAnsi"/>
        </w:rPr>
        <w:t>The panel overseeing the BBSRC IAA in Birmingham include:</w:t>
      </w:r>
    </w:p>
    <w:p w:rsidR="0067776F" w:rsidRDefault="0067776F" w:rsidP="00A31F66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  <w:sectPr w:rsidR="0067776F" w:rsidSect="00031FC6">
          <w:headerReference w:type="default" r:id="rId13"/>
          <w:footerReference w:type="default" r:id="rId14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9648AE" w:rsidRPr="00A31F66" w:rsidRDefault="00507A24" w:rsidP="00A31F66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A31F66">
        <w:rPr>
          <w:rFonts w:cstheme="minorHAnsi"/>
        </w:rPr>
        <w:t xml:space="preserve">Robin May </w:t>
      </w:r>
      <w:r w:rsidR="00A31F66" w:rsidRPr="00A31F66">
        <w:rPr>
          <w:rFonts w:cstheme="minorHAnsi"/>
        </w:rPr>
        <w:t>– Chair</w:t>
      </w:r>
    </w:p>
    <w:p w:rsidR="00A31F66" w:rsidRPr="00A31F66" w:rsidRDefault="00507A24" w:rsidP="00A31F66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A31F66">
        <w:rPr>
          <w:rFonts w:cstheme="minorHAnsi"/>
        </w:rPr>
        <w:t>Tim Dafforn</w:t>
      </w:r>
    </w:p>
    <w:p w:rsidR="00233DA3" w:rsidRDefault="00233DA3" w:rsidP="00233DA3">
      <w:pPr>
        <w:pStyle w:val="PlainText"/>
        <w:numPr>
          <w:ilvl w:val="0"/>
          <w:numId w:val="5"/>
        </w:numPr>
      </w:pPr>
      <w:r>
        <w:t>Lee Chapman</w:t>
      </w:r>
    </w:p>
    <w:p w:rsidR="00233DA3" w:rsidRDefault="00233DA3" w:rsidP="00233DA3">
      <w:pPr>
        <w:pStyle w:val="PlainText"/>
        <w:numPr>
          <w:ilvl w:val="0"/>
          <w:numId w:val="5"/>
        </w:numPr>
      </w:pPr>
      <w:r>
        <w:t>Ferenc Mu</w:t>
      </w:r>
      <w:r w:rsidR="00DD4223">
        <w:t>e</w:t>
      </w:r>
      <w:r>
        <w:t>ller</w:t>
      </w:r>
    </w:p>
    <w:p w:rsidR="00233DA3" w:rsidRDefault="00233DA3" w:rsidP="00233DA3">
      <w:pPr>
        <w:pStyle w:val="PlainText"/>
        <w:numPr>
          <w:ilvl w:val="0"/>
          <w:numId w:val="5"/>
        </w:numPr>
      </w:pPr>
      <w:r>
        <w:t xml:space="preserve">Joff Lee </w:t>
      </w:r>
    </w:p>
    <w:p w:rsidR="00233DA3" w:rsidRDefault="00347B52" w:rsidP="00233DA3">
      <w:pPr>
        <w:pStyle w:val="PlainText"/>
        <w:numPr>
          <w:ilvl w:val="0"/>
          <w:numId w:val="5"/>
        </w:numPr>
      </w:pPr>
      <w:r>
        <w:t>Jennifer Jennings</w:t>
      </w:r>
    </w:p>
    <w:p w:rsidR="009648AE" w:rsidRPr="00507A24" w:rsidRDefault="00347B52" w:rsidP="00FA5EFC">
      <w:pPr>
        <w:pStyle w:val="PlainText"/>
        <w:numPr>
          <w:ilvl w:val="0"/>
          <w:numId w:val="5"/>
        </w:numPr>
        <w:rPr>
          <w:rFonts w:cstheme="minorHAnsi"/>
        </w:rPr>
      </w:pPr>
      <w:r>
        <w:t>Peter Fryer</w:t>
      </w:r>
    </w:p>
    <w:p w:rsidR="0067776F" w:rsidRDefault="0067776F" w:rsidP="00031FC6">
      <w:pPr>
        <w:spacing w:after="0" w:line="240" w:lineRule="auto"/>
        <w:rPr>
          <w:rFonts w:cstheme="minorHAnsi"/>
        </w:rPr>
        <w:sectPr w:rsidR="0067776F" w:rsidSect="0067776F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247D6F" w:rsidRPr="00742BA1" w:rsidRDefault="00247D6F" w:rsidP="00031FC6">
      <w:pPr>
        <w:spacing w:after="0" w:line="240" w:lineRule="auto"/>
        <w:rPr>
          <w:rFonts w:cstheme="minorHAnsi"/>
        </w:rPr>
      </w:pPr>
      <w:bookmarkStart w:id="0" w:name="_GoBack"/>
      <w:bookmarkEnd w:id="0"/>
    </w:p>
    <w:sectPr w:rsidR="00247D6F" w:rsidRPr="00742BA1" w:rsidSect="0067776F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AD8" w:rsidRDefault="00EF7AD8" w:rsidP="004A1DEC">
      <w:pPr>
        <w:spacing w:after="0" w:line="240" w:lineRule="auto"/>
      </w:pPr>
      <w:r>
        <w:separator/>
      </w:r>
    </w:p>
  </w:endnote>
  <w:endnote w:type="continuationSeparator" w:id="0">
    <w:p w:rsidR="00EF7AD8" w:rsidRDefault="00EF7AD8" w:rsidP="004A1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74762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A1DEC" w:rsidRDefault="00EE04A0" w:rsidP="00EE04A0">
            <w:pPr>
              <w:pStyle w:val="Footer"/>
            </w:pPr>
            <w:r>
              <w:rPr>
                <w:sz w:val="20"/>
                <w:szCs w:val="20"/>
              </w:rPr>
              <w:t>June 2018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4A1DEC" w:rsidRPr="004A1DEC">
              <w:rPr>
                <w:sz w:val="20"/>
                <w:szCs w:val="20"/>
              </w:rPr>
              <w:t xml:space="preserve"> </w:t>
            </w:r>
            <w:r w:rsidR="004A1DEC" w:rsidRPr="004A1DEC">
              <w:rPr>
                <w:b/>
                <w:bCs/>
                <w:sz w:val="20"/>
                <w:szCs w:val="20"/>
              </w:rPr>
              <w:fldChar w:fldCharType="begin"/>
            </w:r>
            <w:r w:rsidR="004A1DEC" w:rsidRPr="004A1DEC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4A1DEC" w:rsidRPr="004A1DEC">
              <w:rPr>
                <w:b/>
                <w:bCs/>
                <w:sz w:val="20"/>
                <w:szCs w:val="20"/>
              </w:rPr>
              <w:fldChar w:fldCharType="separate"/>
            </w:r>
            <w:r w:rsidR="0067776F">
              <w:rPr>
                <w:b/>
                <w:bCs/>
                <w:noProof/>
                <w:sz w:val="20"/>
                <w:szCs w:val="20"/>
              </w:rPr>
              <w:t>3</w:t>
            </w:r>
            <w:r w:rsidR="004A1DEC" w:rsidRPr="004A1DEC">
              <w:rPr>
                <w:b/>
                <w:bCs/>
                <w:sz w:val="20"/>
                <w:szCs w:val="20"/>
              </w:rPr>
              <w:fldChar w:fldCharType="end"/>
            </w:r>
            <w:r w:rsidR="004A1DEC" w:rsidRPr="004A1DEC">
              <w:rPr>
                <w:sz w:val="20"/>
                <w:szCs w:val="20"/>
              </w:rPr>
              <w:t xml:space="preserve"> of </w:t>
            </w:r>
            <w:r w:rsidR="004A1DEC" w:rsidRPr="004A1DEC">
              <w:rPr>
                <w:b/>
                <w:bCs/>
                <w:sz w:val="20"/>
                <w:szCs w:val="20"/>
              </w:rPr>
              <w:fldChar w:fldCharType="begin"/>
            </w:r>
            <w:r w:rsidR="004A1DEC" w:rsidRPr="004A1DEC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4A1DEC" w:rsidRPr="004A1DEC">
              <w:rPr>
                <w:b/>
                <w:bCs/>
                <w:sz w:val="20"/>
                <w:szCs w:val="20"/>
              </w:rPr>
              <w:fldChar w:fldCharType="separate"/>
            </w:r>
            <w:r w:rsidR="0067776F">
              <w:rPr>
                <w:b/>
                <w:bCs/>
                <w:noProof/>
                <w:sz w:val="20"/>
                <w:szCs w:val="20"/>
              </w:rPr>
              <w:t>3</w:t>
            </w:r>
            <w:r w:rsidR="004A1DEC" w:rsidRPr="004A1DEC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A1DEC" w:rsidRDefault="004A1D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AD8" w:rsidRDefault="00EF7AD8" w:rsidP="004A1DEC">
      <w:pPr>
        <w:spacing w:after="0" w:line="240" w:lineRule="auto"/>
      </w:pPr>
      <w:r>
        <w:separator/>
      </w:r>
    </w:p>
  </w:footnote>
  <w:footnote w:type="continuationSeparator" w:id="0">
    <w:p w:rsidR="00EF7AD8" w:rsidRDefault="00EF7AD8" w:rsidP="004A1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DEC" w:rsidRDefault="00A37A46">
    <w:pPr>
      <w:pStyle w:val="Header"/>
      <w:rPr>
        <w:noProof/>
        <w:lang w:eastAsia="en-GB"/>
      </w:rPr>
    </w:pPr>
    <w:r>
      <w:rPr>
        <w:noProof/>
        <w:lang w:eastAsia="en-GB"/>
      </w:rPr>
      <w:drawing>
        <wp:inline distT="0" distB="0" distL="0" distR="0" wp14:anchorId="061C625B" wp14:editId="771A7D44">
          <wp:extent cx="1476375" cy="369634"/>
          <wp:effectExtent l="0" t="0" r="0" b="0"/>
          <wp:docPr id="3" name="Picture 3" descr="Image result for bbsr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bbsr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650" cy="373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37A46">
      <w:rPr>
        <w:noProof/>
        <w:lang w:eastAsia="en-GB"/>
      </w:rPr>
      <w:t xml:space="preserve"> </w:t>
    </w:r>
    <w:r>
      <w:rPr>
        <w:noProof/>
        <w:lang w:eastAsia="en-GB"/>
      </w:rPr>
      <w:t xml:space="preserve">  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7315AB38" wp14:editId="198DF144">
          <wp:extent cx="1704975" cy="426244"/>
          <wp:effectExtent l="0" t="0" r="0" b="0"/>
          <wp:docPr id="4" name="Picture 4" descr="Image result for university of birmingha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university of birmingham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226" cy="439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7A46" w:rsidRDefault="00A37A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3584B"/>
    <w:multiLevelType w:val="hybridMultilevel"/>
    <w:tmpl w:val="0C5C7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2589E"/>
    <w:multiLevelType w:val="hybridMultilevel"/>
    <w:tmpl w:val="6AC0C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2E3919"/>
    <w:multiLevelType w:val="hybridMultilevel"/>
    <w:tmpl w:val="F8884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A7C17"/>
    <w:multiLevelType w:val="hybridMultilevel"/>
    <w:tmpl w:val="9006B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654BD"/>
    <w:multiLevelType w:val="multilevel"/>
    <w:tmpl w:val="3FAC3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D6F"/>
    <w:rsid w:val="00031FC6"/>
    <w:rsid w:val="000804A9"/>
    <w:rsid w:val="000A0A01"/>
    <w:rsid w:val="0011313C"/>
    <w:rsid w:val="001D2C7A"/>
    <w:rsid w:val="00233DA3"/>
    <w:rsid w:val="00247D6F"/>
    <w:rsid w:val="002C6677"/>
    <w:rsid w:val="00315B0B"/>
    <w:rsid w:val="00347B52"/>
    <w:rsid w:val="003E6182"/>
    <w:rsid w:val="00442F9E"/>
    <w:rsid w:val="004A1DEC"/>
    <w:rsid w:val="00507A24"/>
    <w:rsid w:val="005D1E28"/>
    <w:rsid w:val="00652773"/>
    <w:rsid w:val="0067776F"/>
    <w:rsid w:val="00742BA1"/>
    <w:rsid w:val="00760954"/>
    <w:rsid w:val="00885439"/>
    <w:rsid w:val="008C6CB7"/>
    <w:rsid w:val="009648AE"/>
    <w:rsid w:val="00A31F66"/>
    <w:rsid w:val="00A37A46"/>
    <w:rsid w:val="00AA2BB7"/>
    <w:rsid w:val="00B055A4"/>
    <w:rsid w:val="00B108B2"/>
    <w:rsid w:val="00BC184D"/>
    <w:rsid w:val="00C90495"/>
    <w:rsid w:val="00CC1583"/>
    <w:rsid w:val="00DD4223"/>
    <w:rsid w:val="00E47D4C"/>
    <w:rsid w:val="00E6208E"/>
    <w:rsid w:val="00E62F3A"/>
    <w:rsid w:val="00E94E43"/>
    <w:rsid w:val="00EE04A0"/>
    <w:rsid w:val="00EF7AD8"/>
    <w:rsid w:val="00F4061E"/>
    <w:rsid w:val="00FB29C5"/>
    <w:rsid w:val="00FD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A99B4364-30AB-4688-BF4E-31C16EA0B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7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247D6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15B0B"/>
  </w:style>
  <w:style w:type="paragraph" w:styleId="Header">
    <w:name w:val="header"/>
    <w:basedOn w:val="Normal"/>
    <w:link w:val="HeaderChar"/>
    <w:uiPriority w:val="99"/>
    <w:unhideWhenUsed/>
    <w:rsid w:val="004A1D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DEC"/>
  </w:style>
  <w:style w:type="paragraph" w:styleId="Footer">
    <w:name w:val="footer"/>
    <w:basedOn w:val="Normal"/>
    <w:link w:val="FooterChar"/>
    <w:uiPriority w:val="99"/>
    <w:unhideWhenUsed/>
    <w:rsid w:val="004A1D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DEC"/>
  </w:style>
  <w:style w:type="character" w:styleId="Hyperlink">
    <w:name w:val="Hyperlink"/>
    <w:basedOn w:val="DefaultParagraphFont"/>
    <w:uiPriority w:val="99"/>
    <w:unhideWhenUsed/>
    <w:rsid w:val="00031FC6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33DA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33DA3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507A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0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l.herron.1@bham.ac.u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tranet.birmingham.ac.uk/finance/Enterprise/Inventions-Patents.aspx" TargetMode="External"/><Relationship Id="rId12" Type="http://schemas.openxmlformats.org/officeDocument/2006/relationships/hyperlink" Target="mailto:m.l.herron.1@bham.ac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gage@contacts.bham.ac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thinkpe.wordpress.com/perform/funding/uob-funds-for-p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hinkpe.wordpress.com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 IT Services</Company>
  <LinksUpToDate>false</LinksUpToDate>
  <CharactersWithSpaces>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Eliot Marston (Research Support Service)</dc:creator>
  <cp:keywords/>
  <dc:description/>
  <cp:lastModifiedBy>Michelle Read (Enterprise and Innovation)</cp:lastModifiedBy>
  <cp:revision>6</cp:revision>
  <dcterms:created xsi:type="dcterms:W3CDTF">2018-09-06T14:26:00Z</dcterms:created>
  <dcterms:modified xsi:type="dcterms:W3CDTF">2018-09-19T10:20:00Z</dcterms:modified>
</cp:coreProperties>
</file>