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D0521" w14:textId="77777777" w:rsidR="00EF3EEF" w:rsidRPr="00C8072A" w:rsidRDefault="005567D3" w:rsidP="005268F5">
      <w:pPr>
        <w:jc w:val="center"/>
      </w:pPr>
      <w:r w:rsidRPr="00C8072A">
        <w:t>BBSRC Impact Acceleration Account</w:t>
      </w:r>
    </w:p>
    <w:p w14:paraId="299A8514" w14:textId="77777777" w:rsidR="005567D3" w:rsidRPr="00C8072A" w:rsidRDefault="005567D3" w:rsidP="005268F5">
      <w:pPr>
        <w:jc w:val="center"/>
      </w:pPr>
      <w:r w:rsidRPr="00C8072A">
        <w:t>Follow on Fund Guidance</w:t>
      </w:r>
    </w:p>
    <w:p w14:paraId="27F00BB0" w14:textId="77777777" w:rsidR="005567D3" w:rsidRPr="00C8072A" w:rsidRDefault="005567D3" w:rsidP="005268F5">
      <w:pPr>
        <w:jc w:val="center"/>
      </w:pPr>
      <w:r w:rsidRPr="00C8072A">
        <w:t>Applicant Guidance</w:t>
      </w:r>
    </w:p>
    <w:p w14:paraId="3EFD13FD" w14:textId="77777777" w:rsidR="005567D3" w:rsidRPr="00C8072A" w:rsidRDefault="005268F5" w:rsidP="00FE46B6">
      <w:pPr>
        <w:pStyle w:val="ListParagraph"/>
        <w:numPr>
          <w:ilvl w:val="0"/>
          <w:numId w:val="1"/>
        </w:numPr>
        <w:ind w:left="567"/>
      </w:pPr>
      <w:r w:rsidRPr="00C8072A">
        <w:t>Background</w:t>
      </w:r>
    </w:p>
    <w:p w14:paraId="0DF49B78" w14:textId="77777777" w:rsidR="005268F5" w:rsidRPr="00C8072A" w:rsidRDefault="005268F5">
      <w:r w:rsidRPr="00C8072A">
        <w:t xml:space="preserve">1.1 </w:t>
      </w:r>
      <w:r w:rsidR="005567D3" w:rsidRPr="00C8072A">
        <w:t xml:space="preserve">The BBSRC IAA Follow on Funding scheme supports the development of outputs from </w:t>
      </w:r>
      <w:r w:rsidR="002C60EA" w:rsidRPr="00C8072A">
        <w:t xml:space="preserve">existing or previous research at the University of Birmingham. This follow on fund is aimed at providing early stage commercialisation funding. This can include market analysis, </w:t>
      </w:r>
      <w:r w:rsidRPr="00C8072A">
        <w:t>business modelling or business planning for commercial validation.</w:t>
      </w:r>
    </w:p>
    <w:p w14:paraId="126FC2B7" w14:textId="401F4FC9" w:rsidR="00B54B70" w:rsidRDefault="00AD7159" w:rsidP="00B54B7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1.2</w:t>
      </w:r>
      <w:r w:rsidR="00B54B70" w:rsidRPr="00B54B70">
        <w:rPr>
          <w:rFonts w:asciiTheme="minorHAnsi" w:hAnsiTheme="minorHAnsi" w:cstheme="minorBidi"/>
          <w:color w:val="auto"/>
          <w:sz w:val="22"/>
          <w:szCs w:val="22"/>
        </w:rPr>
        <w:t xml:space="preserve"> This funding provides the opportunity to build upon, across and between individual projects to progress research outputs and outcomes towards impact. </w:t>
      </w:r>
    </w:p>
    <w:p w14:paraId="24BADDF3" w14:textId="77777777" w:rsidR="00B54B70" w:rsidRPr="00B54B70" w:rsidRDefault="00B54B70" w:rsidP="00B54B7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221FBEE" w14:textId="434DD3E7" w:rsidR="00CE1AC4" w:rsidRPr="00C8072A" w:rsidRDefault="00CE1AC4">
      <w:r w:rsidRPr="00C8072A">
        <w:t>1</w:t>
      </w:r>
      <w:r w:rsidR="00B54B70">
        <w:t>.</w:t>
      </w:r>
      <w:r w:rsidR="00AD7159">
        <w:t>3</w:t>
      </w:r>
      <w:r w:rsidRPr="00C8072A">
        <w:t xml:space="preserve"> Please also review the </w:t>
      </w:r>
      <w:hyperlink r:id="rId8" w:history="1">
        <w:r w:rsidRPr="00C8072A">
          <w:rPr>
            <w:rStyle w:val="Hyperlink"/>
          </w:rPr>
          <w:t>Research and Innovation Services intranet pages</w:t>
        </w:r>
      </w:hyperlink>
      <w:r w:rsidRPr="00C8072A">
        <w:t xml:space="preserve"> for further guidance on internal funding or by directly contacting the following research facilitation staff:</w:t>
      </w:r>
    </w:p>
    <w:p w14:paraId="5CCAA80F" w14:textId="72B7D8DA" w:rsidR="00CE1AC4" w:rsidRPr="00C8072A" w:rsidRDefault="00AD7159" w:rsidP="00CE1AC4">
      <w:pPr>
        <w:pStyle w:val="ListParagraph"/>
        <w:numPr>
          <w:ilvl w:val="0"/>
          <w:numId w:val="2"/>
        </w:numPr>
      </w:pPr>
      <w:r>
        <w:t>Michelle Read</w:t>
      </w:r>
      <w:r w:rsidR="00CE1AC4" w:rsidRPr="00C8072A">
        <w:t xml:space="preserve">, email: </w:t>
      </w:r>
      <w:hyperlink r:id="rId9" w:history="1">
        <w:r w:rsidR="009B5E67" w:rsidRPr="00B71D47">
          <w:rPr>
            <w:rStyle w:val="Hyperlink"/>
          </w:rPr>
          <w:t>m.l.herron.1@bham.ac.uk</w:t>
        </w:r>
      </w:hyperlink>
      <w:r w:rsidR="00CE1AC4" w:rsidRPr="00C8072A">
        <w:t xml:space="preserve"> or by telephone </w:t>
      </w:r>
      <w:r w:rsidR="005F60C1">
        <w:t>0121 371 8517</w:t>
      </w:r>
      <w:bookmarkStart w:id="0" w:name="_GoBack"/>
      <w:bookmarkEnd w:id="0"/>
    </w:p>
    <w:p w14:paraId="659E360B" w14:textId="3FCE9757" w:rsidR="00CE1AC4" w:rsidRDefault="00CE1AC4">
      <w:r w:rsidRPr="00C8072A">
        <w:t>1</w:t>
      </w:r>
      <w:r w:rsidR="00B54B70">
        <w:t>.</w:t>
      </w:r>
      <w:r w:rsidR="00AD7159">
        <w:t>4</w:t>
      </w:r>
      <w:r w:rsidRPr="00C8072A">
        <w:t xml:space="preserve"> All recipients of Follow on Funding will benefit from support Business Engagement and Technology Transfer teams and will have access to entrepreneurial training.</w:t>
      </w:r>
    </w:p>
    <w:p w14:paraId="157C8BD0" w14:textId="00A57D4A" w:rsidR="00B54B70" w:rsidRDefault="00B54B70" w:rsidP="00B54B70">
      <w:pPr>
        <w:pStyle w:val="Default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1.</w:t>
      </w:r>
      <w:r w:rsidR="00AD7159">
        <w:rPr>
          <w:rFonts w:asciiTheme="minorHAnsi" w:hAnsiTheme="minorHAnsi" w:cstheme="minorHAnsi"/>
          <w:sz w:val="22"/>
          <w:szCs w:val="22"/>
          <w:lang w:val="en"/>
        </w:rPr>
        <w:t>5</w:t>
      </w:r>
      <w:r w:rsidRPr="00C8072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D7159">
        <w:rPr>
          <w:rFonts w:asciiTheme="minorHAnsi" w:hAnsiTheme="minorHAnsi" w:cstheme="minorHAnsi"/>
          <w:sz w:val="22"/>
          <w:szCs w:val="22"/>
          <w:lang w:val="en"/>
        </w:rPr>
        <w:t>Individual project funding is expected to be in the range of</w:t>
      </w:r>
      <w:r w:rsidRPr="00C8072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D7159">
        <w:rPr>
          <w:rFonts w:cstheme="minorHAnsi"/>
        </w:rPr>
        <w:t xml:space="preserve">£10,000 - £30,000, with the latter being a limit for exceptional projects and most tending towards the lower </w:t>
      </w:r>
      <w:r w:rsidR="00AD7159" w:rsidRPr="00AD7159">
        <w:rPr>
          <w:rFonts w:cstheme="minorHAnsi"/>
        </w:rPr>
        <w:t>limit</w:t>
      </w:r>
      <w:r w:rsidR="00AD7159" w:rsidRPr="00AD7159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7F14FB76" w14:textId="77777777" w:rsidR="00B54B70" w:rsidRPr="00C8072A" w:rsidRDefault="00B54B70"/>
    <w:p w14:paraId="5219B7C5" w14:textId="4867F197" w:rsidR="005042B5" w:rsidRPr="00C8072A" w:rsidRDefault="005042B5" w:rsidP="00FE46B6">
      <w:pPr>
        <w:pStyle w:val="ListParagraph"/>
        <w:numPr>
          <w:ilvl w:val="0"/>
          <w:numId w:val="1"/>
        </w:numPr>
        <w:ind w:left="567"/>
      </w:pPr>
      <w:r w:rsidRPr="00C8072A">
        <w:t>Eligibility</w:t>
      </w:r>
    </w:p>
    <w:p w14:paraId="3B083F32" w14:textId="6C81D137" w:rsidR="005042B5" w:rsidRPr="00C8072A" w:rsidRDefault="005042B5" w:rsidP="005042B5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C8072A">
        <w:rPr>
          <w:rFonts w:asciiTheme="minorHAnsi" w:eastAsiaTheme="minorHAnsi" w:hAnsiTheme="minorHAnsi" w:cstheme="minorBidi"/>
          <w:sz w:val="22"/>
          <w:szCs w:val="22"/>
          <w:lang w:eastAsia="en-US"/>
        </w:rPr>
        <w:t>2.1 Funding is open to application from all members of the academic community who hold/have held BBSRC funding</w:t>
      </w:r>
      <w:r w:rsidRPr="00C8072A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14:paraId="16FB5BF8" w14:textId="14B838D1" w:rsidR="00B54B70" w:rsidRPr="00B54B70" w:rsidRDefault="00B54B70" w:rsidP="00B54B7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2.2 IAA funding may support the following:</w:t>
      </w:r>
      <w:r w:rsidRPr="00B54B70">
        <w:t xml:space="preserve"> </w:t>
      </w:r>
    </w:p>
    <w:p w14:paraId="6F14E319" w14:textId="77777777" w:rsidR="00B54B70" w:rsidRDefault="00B54B70" w:rsidP="00B54B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9" w:line="240" w:lineRule="auto"/>
        <w:rPr>
          <w:rFonts w:cs="Arial"/>
          <w:color w:val="000000"/>
        </w:rPr>
      </w:pPr>
      <w:r w:rsidRPr="00B54B70">
        <w:rPr>
          <w:rFonts w:cs="Arial"/>
          <w:color w:val="000000"/>
        </w:rPr>
        <w:t xml:space="preserve">Both directly incurred and directly allocated project cost. Consequently Investigator and staff time can be charged to individual projects as required. </w:t>
      </w:r>
    </w:p>
    <w:p w14:paraId="4403E7B3" w14:textId="428A11A5" w:rsidR="00B54B70" w:rsidRPr="00B54B70" w:rsidRDefault="00B54B70" w:rsidP="00B54B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9" w:line="240" w:lineRule="auto"/>
        <w:rPr>
          <w:rFonts w:cs="Arial"/>
          <w:color w:val="000000"/>
        </w:rPr>
      </w:pPr>
      <w:r w:rsidRPr="00B54B70">
        <w:rPr>
          <w:rFonts w:cs="Arial"/>
          <w:color w:val="000000"/>
        </w:rPr>
        <w:t>Direct costs including Travel and Subsistence, may be c</w:t>
      </w:r>
      <w:r>
        <w:rPr>
          <w:rFonts w:cs="Arial"/>
          <w:color w:val="000000"/>
        </w:rPr>
        <w:t>laimed at 100% and appropriately justified in your application.</w:t>
      </w:r>
    </w:p>
    <w:p w14:paraId="7DF3EF34" w14:textId="5934D50B" w:rsidR="00B54B70" w:rsidRPr="00C8072A" w:rsidRDefault="00B54B70" w:rsidP="005042B5">
      <w:pPr>
        <w:pStyle w:val="Default"/>
        <w:rPr>
          <w:rFonts w:asciiTheme="minorHAnsi" w:hAnsiTheme="minorHAnsi" w:cstheme="minorHAnsi"/>
          <w:sz w:val="22"/>
          <w:szCs w:val="22"/>
          <w:lang w:val="en"/>
        </w:rPr>
      </w:pPr>
    </w:p>
    <w:p w14:paraId="4FFE7240" w14:textId="129755CA" w:rsidR="005042B5" w:rsidRPr="00C8072A" w:rsidRDefault="005042B5" w:rsidP="005042B5">
      <w:pPr>
        <w:pStyle w:val="Default"/>
        <w:rPr>
          <w:sz w:val="22"/>
          <w:szCs w:val="22"/>
        </w:rPr>
      </w:pPr>
      <w:r w:rsidRPr="00C8072A">
        <w:rPr>
          <w:rFonts w:asciiTheme="minorHAnsi" w:hAnsiTheme="minorHAnsi" w:cstheme="minorHAnsi"/>
          <w:sz w:val="22"/>
          <w:szCs w:val="22"/>
          <w:lang w:val="en"/>
        </w:rPr>
        <w:t>2.</w:t>
      </w:r>
      <w:r w:rsidR="00B54B70">
        <w:rPr>
          <w:rFonts w:asciiTheme="minorHAnsi" w:hAnsiTheme="minorHAnsi" w:cstheme="minorHAnsi"/>
          <w:sz w:val="22"/>
          <w:szCs w:val="22"/>
          <w:lang w:val="en"/>
        </w:rPr>
        <w:t>3</w:t>
      </w:r>
      <w:r w:rsidRPr="00C8072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C8072A" w:rsidRPr="00C8072A">
        <w:rPr>
          <w:sz w:val="22"/>
          <w:szCs w:val="22"/>
        </w:rPr>
        <w:t>IAA funding is not intended to</w:t>
      </w:r>
      <w:r w:rsidRPr="00C8072A">
        <w:rPr>
          <w:sz w:val="22"/>
          <w:szCs w:val="22"/>
        </w:rPr>
        <w:t xml:space="preserve">: </w:t>
      </w:r>
    </w:p>
    <w:p w14:paraId="35309B79" w14:textId="24C93BD0" w:rsidR="00C8072A" w:rsidRPr="00C8072A" w:rsidRDefault="00C8072A" w:rsidP="005042B5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C8072A">
        <w:rPr>
          <w:rFonts w:asciiTheme="minorHAnsi" w:hAnsiTheme="minorHAnsi" w:cs="Arial"/>
          <w:sz w:val="22"/>
          <w:szCs w:val="22"/>
        </w:rPr>
        <w:t xml:space="preserve">Fund activities that should already have been anticipated and supported through standard routes, e.g. Pathways to Impact, Doctoral Training Partnerships, Collaborative Training Partnerships, fundamental research; </w:t>
      </w:r>
    </w:p>
    <w:p w14:paraId="57085FA5" w14:textId="0835B73F" w:rsidR="00C8072A" w:rsidRPr="00C8072A" w:rsidRDefault="00C8072A" w:rsidP="005042B5">
      <w:pPr>
        <w:pStyle w:val="Default"/>
        <w:numPr>
          <w:ilvl w:val="0"/>
          <w:numId w:val="2"/>
        </w:numPr>
        <w:spacing w:after="27"/>
        <w:rPr>
          <w:rFonts w:asciiTheme="minorHAnsi" w:hAnsiTheme="minorHAnsi"/>
          <w:sz w:val="22"/>
          <w:szCs w:val="22"/>
        </w:rPr>
      </w:pPr>
      <w:r w:rsidRPr="00C8072A">
        <w:rPr>
          <w:rFonts w:asciiTheme="minorHAnsi" w:hAnsiTheme="minorHAnsi" w:cs="Arial"/>
          <w:sz w:val="22"/>
          <w:szCs w:val="22"/>
        </w:rPr>
        <w:t>Duplicate other sources of funding that can be used for impact activities within the remit of BBSRC, e.g. Public Engagement Catalysts, HEIF, Innovate UK</w:t>
      </w:r>
    </w:p>
    <w:p w14:paraId="6F71DA56" w14:textId="54DE9AA3" w:rsidR="005042B5" w:rsidRPr="00C8072A" w:rsidRDefault="00C8072A" w:rsidP="005042B5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C8072A">
        <w:rPr>
          <w:sz w:val="22"/>
          <w:szCs w:val="22"/>
        </w:rPr>
        <w:t>Support e</w:t>
      </w:r>
      <w:r w:rsidR="005042B5" w:rsidRPr="00C8072A">
        <w:rPr>
          <w:sz w:val="22"/>
          <w:szCs w:val="22"/>
        </w:rPr>
        <w:t xml:space="preserve">states and indirect costs </w:t>
      </w:r>
    </w:p>
    <w:p w14:paraId="7DD21451" w14:textId="79377912" w:rsidR="005042B5" w:rsidRPr="00C8072A" w:rsidRDefault="00C8072A" w:rsidP="005042B5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C8072A">
        <w:rPr>
          <w:sz w:val="22"/>
          <w:szCs w:val="22"/>
        </w:rPr>
        <w:t>Purchase s</w:t>
      </w:r>
      <w:r w:rsidR="005042B5" w:rsidRPr="00C8072A">
        <w:rPr>
          <w:sz w:val="22"/>
          <w:szCs w:val="22"/>
        </w:rPr>
        <w:t xml:space="preserve">ingle items of equipment costing greater than £10,000 </w:t>
      </w:r>
    </w:p>
    <w:p w14:paraId="7F626A06" w14:textId="414EA160" w:rsidR="005042B5" w:rsidRPr="00C8072A" w:rsidRDefault="00C8072A" w:rsidP="005042B5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C8072A">
        <w:rPr>
          <w:sz w:val="22"/>
          <w:szCs w:val="22"/>
        </w:rPr>
        <w:t>Fund e</w:t>
      </w:r>
      <w:r w:rsidR="005042B5" w:rsidRPr="00C8072A">
        <w:rPr>
          <w:sz w:val="22"/>
          <w:szCs w:val="22"/>
        </w:rPr>
        <w:t xml:space="preserve">ntire translational projects </w:t>
      </w:r>
    </w:p>
    <w:p w14:paraId="7D8A5918" w14:textId="6E7E6F97" w:rsidR="005042B5" w:rsidRPr="00C8072A" w:rsidRDefault="00C8072A" w:rsidP="005042B5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C8072A">
        <w:rPr>
          <w:sz w:val="22"/>
          <w:szCs w:val="22"/>
        </w:rPr>
        <w:t>Subsidise s</w:t>
      </w:r>
      <w:r w:rsidR="005042B5" w:rsidRPr="00C8072A">
        <w:rPr>
          <w:sz w:val="22"/>
          <w:szCs w:val="22"/>
        </w:rPr>
        <w:t xml:space="preserve">taff between posts/funding (i.e. ‘bridging’) </w:t>
      </w:r>
    </w:p>
    <w:p w14:paraId="3F88E3BB" w14:textId="418F8D9A" w:rsidR="005042B5" w:rsidRPr="00C8072A" w:rsidRDefault="00C8072A" w:rsidP="005042B5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C8072A">
        <w:rPr>
          <w:sz w:val="22"/>
          <w:szCs w:val="22"/>
        </w:rPr>
        <w:t xml:space="preserve">Fund </w:t>
      </w:r>
      <w:r w:rsidR="005042B5" w:rsidRPr="00C8072A">
        <w:rPr>
          <w:sz w:val="22"/>
          <w:szCs w:val="22"/>
        </w:rPr>
        <w:t xml:space="preserve">PhDs </w:t>
      </w:r>
    </w:p>
    <w:p w14:paraId="3334A041" w14:textId="6C3501A7" w:rsidR="00C8072A" w:rsidRDefault="00C8072A" w:rsidP="007B47FA">
      <w:pPr>
        <w:pStyle w:val="Default"/>
        <w:numPr>
          <w:ilvl w:val="0"/>
          <w:numId w:val="2"/>
        </w:numPr>
        <w:spacing w:after="70"/>
        <w:rPr>
          <w:rFonts w:ascii="Arial" w:hAnsi="Arial" w:cs="Arial"/>
          <w:sz w:val="22"/>
          <w:szCs w:val="22"/>
        </w:rPr>
      </w:pPr>
      <w:r w:rsidRPr="00C8072A">
        <w:rPr>
          <w:sz w:val="22"/>
          <w:szCs w:val="22"/>
        </w:rPr>
        <w:t>Fund c</w:t>
      </w:r>
      <w:r w:rsidR="005042B5" w:rsidRPr="00C8072A">
        <w:rPr>
          <w:sz w:val="22"/>
          <w:szCs w:val="22"/>
        </w:rPr>
        <w:t xml:space="preserve">osts relating to the protection of intellectual property </w:t>
      </w:r>
    </w:p>
    <w:p w14:paraId="6AD4F6DF" w14:textId="7FA7C2C4" w:rsidR="0044545B" w:rsidRPr="0044545B" w:rsidRDefault="0044545B" w:rsidP="0044545B">
      <w:pPr>
        <w:pStyle w:val="Default"/>
        <w:spacing w:after="70"/>
        <w:rPr>
          <w:rFonts w:asciiTheme="minorHAnsi" w:hAnsiTheme="minorHAnsi" w:cs="Arial"/>
          <w:sz w:val="22"/>
          <w:szCs w:val="22"/>
        </w:rPr>
      </w:pPr>
    </w:p>
    <w:p w14:paraId="61E7C2DA" w14:textId="6C6E7E1E" w:rsidR="0044545B" w:rsidRPr="0044545B" w:rsidRDefault="0044545B" w:rsidP="0044545B">
      <w:pPr>
        <w:pStyle w:val="Default"/>
        <w:spacing w:after="70"/>
        <w:rPr>
          <w:rFonts w:asciiTheme="minorHAnsi" w:hAnsiTheme="minorHAnsi" w:cs="Arial"/>
          <w:sz w:val="22"/>
          <w:szCs w:val="22"/>
        </w:rPr>
      </w:pPr>
      <w:r w:rsidRPr="0044545B">
        <w:rPr>
          <w:rFonts w:asciiTheme="minorHAnsi" w:hAnsiTheme="minorHAnsi" w:cs="Arial"/>
          <w:sz w:val="22"/>
          <w:szCs w:val="22"/>
        </w:rPr>
        <w:lastRenderedPageBreak/>
        <w:t xml:space="preserve">2.4 Further information regarding research council grants terms and conditions can be found here: </w:t>
      </w:r>
      <w:hyperlink r:id="rId10" w:history="1">
        <w:r w:rsidRPr="0044545B">
          <w:rPr>
            <w:rStyle w:val="Hyperlink"/>
            <w:rFonts w:asciiTheme="minorHAnsi" w:hAnsiTheme="minorHAnsi" w:cs="Arial"/>
            <w:sz w:val="22"/>
            <w:szCs w:val="22"/>
          </w:rPr>
          <w:t>https://www.ukri.org/funding/information-for-award-holders/grant-terms-and-conditions/</w:t>
        </w:r>
      </w:hyperlink>
    </w:p>
    <w:p w14:paraId="6DC5415F" w14:textId="067E4C14" w:rsidR="005042B5" w:rsidRPr="00C8072A" w:rsidRDefault="005042B5" w:rsidP="005042B5">
      <w:pPr>
        <w:pStyle w:val="NormalWeb"/>
        <w:numPr>
          <w:ilvl w:val="0"/>
          <w:numId w:val="1"/>
        </w:numPr>
        <w:ind w:left="567"/>
        <w:rPr>
          <w:rFonts w:asciiTheme="minorHAnsi" w:hAnsiTheme="minorHAnsi" w:cstheme="minorHAnsi"/>
          <w:sz w:val="22"/>
          <w:szCs w:val="22"/>
          <w:lang w:val="en"/>
        </w:rPr>
      </w:pPr>
      <w:r w:rsidRPr="00C8072A">
        <w:rPr>
          <w:rFonts w:asciiTheme="minorHAnsi" w:hAnsiTheme="minorHAnsi" w:cstheme="minorHAnsi"/>
          <w:sz w:val="22"/>
          <w:szCs w:val="22"/>
          <w:lang w:val="en"/>
        </w:rPr>
        <w:t>How to Apply</w:t>
      </w:r>
    </w:p>
    <w:p w14:paraId="72734574" w14:textId="441766E5" w:rsidR="005042B5" w:rsidRPr="00C8072A" w:rsidRDefault="005042B5" w:rsidP="005042B5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C8072A">
        <w:rPr>
          <w:rFonts w:asciiTheme="minorHAnsi" w:hAnsiTheme="minorHAnsi" w:cstheme="minorHAnsi"/>
          <w:sz w:val="22"/>
          <w:szCs w:val="22"/>
          <w:lang w:val="en"/>
        </w:rPr>
        <w:t>3.1 All applications must be submitted via the application form found here.</w:t>
      </w:r>
    </w:p>
    <w:p w14:paraId="51AA1A53" w14:textId="3A7423CF" w:rsidR="00096C11" w:rsidRPr="00C8072A" w:rsidRDefault="00096C11" w:rsidP="00096C11">
      <w:pPr>
        <w:pStyle w:val="Default"/>
        <w:rPr>
          <w:sz w:val="22"/>
          <w:szCs w:val="22"/>
        </w:rPr>
      </w:pPr>
      <w:r w:rsidRPr="00C8072A">
        <w:rPr>
          <w:rFonts w:asciiTheme="minorHAnsi" w:hAnsiTheme="minorHAnsi" w:cstheme="minorHAnsi"/>
          <w:sz w:val="22"/>
          <w:szCs w:val="22"/>
          <w:lang w:val="en"/>
        </w:rPr>
        <w:t xml:space="preserve">3.2 </w:t>
      </w:r>
      <w:r w:rsidRPr="00C8072A">
        <w:rPr>
          <w:sz w:val="22"/>
          <w:szCs w:val="22"/>
        </w:rPr>
        <w:t xml:space="preserve">It is the responsibility of the applicant(s) to ensure that all proposed activities are in accordance with the University’s Code of Ethics and Code of Practice for Research. </w:t>
      </w:r>
    </w:p>
    <w:p w14:paraId="65FF5CB1" w14:textId="77777777" w:rsidR="00B54B70" w:rsidRDefault="00B54B70" w:rsidP="008F0D2E">
      <w:pPr>
        <w:pStyle w:val="Default"/>
        <w:rPr>
          <w:sz w:val="22"/>
          <w:szCs w:val="22"/>
        </w:rPr>
      </w:pPr>
    </w:p>
    <w:p w14:paraId="5E678B1D" w14:textId="7E5468E0" w:rsidR="005042B5" w:rsidRPr="00C8072A" w:rsidRDefault="00096C11" w:rsidP="00FE46B6">
      <w:pPr>
        <w:pStyle w:val="ListParagraph"/>
        <w:numPr>
          <w:ilvl w:val="0"/>
          <w:numId w:val="1"/>
        </w:numPr>
        <w:ind w:left="567"/>
      </w:pPr>
      <w:r w:rsidRPr="00C8072A">
        <w:t>Assessment Criteria</w:t>
      </w:r>
    </w:p>
    <w:p w14:paraId="4439B8D3" w14:textId="00F19634" w:rsidR="00B54B70" w:rsidRPr="00C8072A" w:rsidRDefault="008F0D2E" w:rsidP="00B54B70">
      <w:pPr>
        <w:spacing w:after="0" w:line="240" w:lineRule="auto"/>
        <w:rPr>
          <w:rFonts w:cstheme="minorHAnsi"/>
          <w:lang w:val="en"/>
        </w:rPr>
      </w:pPr>
      <w:r w:rsidRPr="00C8072A">
        <w:t xml:space="preserve">4.1 </w:t>
      </w:r>
      <w:r w:rsidR="00B54B70" w:rsidRPr="00C8072A">
        <w:rPr>
          <w:rFonts w:cstheme="minorHAnsi"/>
          <w:lang w:val="en"/>
        </w:rPr>
        <w:t xml:space="preserve">Award of funds will be made on the following criteria: </w:t>
      </w:r>
    </w:p>
    <w:p w14:paraId="757456C8" w14:textId="75E24086" w:rsidR="00B54B70" w:rsidRPr="00C8072A" w:rsidRDefault="00B54B70" w:rsidP="00B54B70">
      <w:pPr>
        <w:spacing w:after="0" w:line="240" w:lineRule="auto"/>
        <w:rPr>
          <w:rFonts w:cstheme="minorHAnsi"/>
          <w:lang w:val="en"/>
        </w:rPr>
      </w:pPr>
      <w:r w:rsidRPr="00C8072A">
        <w:rPr>
          <w:rFonts w:cstheme="minorHAnsi"/>
          <w:lang w:val="en"/>
        </w:rPr>
        <w:t xml:space="preserve">1) </w:t>
      </w:r>
      <w:r w:rsidR="00391A96" w:rsidRPr="00C8072A">
        <w:rPr>
          <w:rFonts w:cstheme="minorHAnsi"/>
          <w:lang w:val="en"/>
        </w:rPr>
        <w:t>Excellence</w:t>
      </w:r>
      <w:r w:rsidRPr="00C8072A">
        <w:rPr>
          <w:rFonts w:cstheme="minorHAnsi"/>
          <w:lang w:val="en"/>
        </w:rPr>
        <w:t xml:space="preserve"> and innovation; </w:t>
      </w:r>
    </w:p>
    <w:p w14:paraId="0B323896" w14:textId="07D558AA" w:rsidR="00B54B70" w:rsidRPr="00C8072A" w:rsidRDefault="00B54B70" w:rsidP="00B54B70">
      <w:pPr>
        <w:spacing w:after="0" w:line="240" w:lineRule="auto"/>
        <w:rPr>
          <w:rFonts w:cstheme="minorHAnsi"/>
          <w:lang w:val="en"/>
        </w:rPr>
      </w:pPr>
      <w:r w:rsidRPr="00C8072A">
        <w:rPr>
          <w:rFonts w:cstheme="minorHAnsi"/>
          <w:lang w:val="en"/>
        </w:rPr>
        <w:t xml:space="preserve">2) </w:t>
      </w:r>
      <w:r w:rsidR="00391A96" w:rsidRPr="00C8072A">
        <w:rPr>
          <w:rFonts w:cstheme="minorHAnsi"/>
          <w:lang w:val="en"/>
        </w:rPr>
        <w:t>Potential</w:t>
      </w:r>
      <w:r w:rsidRPr="00C8072A">
        <w:rPr>
          <w:rFonts w:cstheme="minorHAnsi"/>
          <w:lang w:val="en"/>
        </w:rPr>
        <w:t xml:space="preserve"> for impact; </w:t>
      </w:r>
    </w:p>
    <w:p w14:paraId="20B184C5" w14:textId="78D1D0BC" w:rsidR="00B54B70" w:rsidRPr="00C8072A" w:rsidRDefault="00B54B70" w:rsidP="00B54B70">
      <w:pPr>
        <w:spacing w:after="0" w:line="240" w:lineRule="auto"/>
        <w:rPr>
          <w:rFonts w:cstheme="minorHAnsi"/>
          <w:lang w:val="en"/>
        </w:rPr>
      </w:pPr>
      <w:r w:rsidRPr="00C8072A">
        <w:rPr>
          <w:rFonts w:cstheme="minorHAnsi"/>
          <w:lang w:val="en"/>
        </w:rPr>
        <w:t xml:space="preserve">3) </w:t>
      </w:r>
      <w:r w:rsidR="00391A96" w:rsidRPr="00C8072A">
        <w:rPr>
          <w:rFonts w:cstheme="minorHAnsi"/>
          <w:lang w:val="en"/>
        </w:rPr>
        <w:t>User</w:t>
      </w:r>
      <w:r w:rsidRPr="00C8072A">
        <w:rPr>
          <w:rFonts w:cstheme="minorHAnsi"/>
          <w:lang w:val="en"/>
        </w:rPr>
        <w:t xml:space="preserve"> engagement including associated leverage; </w:t>
      </w:r>
    </w:p>
    <w:p w14:paraId="553F4ED5" w14:textId="73F0FA60" w:rsidR="00B54B70" w:rsidRPr="00C8072A" w:rsidRDefault="00B54B70" w:rsidP="00B54B70">
      <w:pPr>
        <w:spacing w:after="0" w:line="240" w:lineRule="auto"/>
        <w:rPr>
          <w:rFonts w:cstheme="minorHAnsi"/>
          <w:lang w:val="en"/>
        </w:rPr>
      </w:pPr>
      <w:r w:rsidRPr="00C8072A">
        <w:rPr>
          <w:rFonts w:cstheme="minorHAnsi"/>
          <w:lang w:val="en"/>
        </w:rPr>
        <w:t xml:space="preserve">4) </w:t>
      </w:r>
      <w:r w:rsidR="00391A96">
        <w:rPr>
          <w:rFonts w:cstheme="minorHAnsi"/>
          <w:lang w:val="en"/>
        </w:rPr>
        <w:t>Delivery</w:t>
      </w:r>
      <w:r>
        <w:rPr>
          <w:rFonts w:cstheme="minorHAnsi"/>
          <w:lang w:val="en"/>
        </w:rPr>
        <w:t xml:space="preserve"> </w:t>
      </w:r>
      <w:r w:rsidRPr="00C8072A">
        <w:rPr>
          <w:rFonts w:cstheme="minorHAnsi"/>
          <w:lang w:val="en"/>
        </w:rPr>
        <w:t xml:space="preserve">feasibility; and </w:t>
      </w:r>
    </w:p>
    <w:p w14:paraId="78C03657" w14:textId="06995E1A" w:rsidR="00B54B70" w:rsidRPr="00C8072A" w:rsidRDefault="00B54B70" w:rsidP="00B54B70">
      <w:pPr>
        <w:spacing w:after="0" w:line="240" w:lineRule="auto"/>
        <w:rPr>
          <w:rFonts w:cstheme="minorHAnsi"/>
          <w:lang w:val="en" w:eastAsia="en-GB"/>
        </w:rPr>
      </w:pPr>
      <w:r w:rsidRPr="00C8072A">
        <w:rPr>
          <w:rFonts w:cstheme="minorHAnsi"/>
          <w:lang w:val="en"/>
        </w:rPr>
        <w:t xml:space="preserve">5) </w:t>
      </w:r>
      <w:r w:rsidR="00391A96" w:rsidRPr="00C8072A">
        <w:rPr>
          <w:rFonts w:cstheme="minorHAnsi"/>
          <w:lang w:val="en"/>
        </w:rPr>
        <w:t>Excellence</w:t>
      </w:r>
      <w:r w:rsidRPr="00C8072A">
        <w:rPr>
          <w:rFonts w:cstheme="minorHAnsi"/>
          <w:lang w:val="en"/>
        </w:rPr>
        <w:t xml:space="preserve"> of underpinning research.</w:t>
      </w:r>
    </w:p>
    <w:p w14:paraId="58DE5828" w14:textId="77777777" w:rsidR="0044545B" w:rsidRDefault="0044545B" w:rsidP="0044545B"/>
    <w:p w14:paraId="32722DBE" w14:textId="3A3E940F" w:rsidR="00B75D9F" w:rsidRDefault="00391A96" w:rsidP="0044545B">
      <w:pPr>
        <w:rPr>
          <w:rFonts w:cstheme="minorHAnsi"/>
          <w:lang w:val="en"/>
        </w:rPr>
      </w:pPr>
      <w:r>
        <w:t xml:space="preserve">4.2 </w:t>
      </w:r>
      <w:r w:rsidRPr="00B75D9F">
        <w:rPr>
          <w:rFonts w:cstheme="minorHAnsi"/>
          <w:lang w:val="en"/>
        </w:rPr>
        <w:t>All</w:t>
      </w:r>
      <w:r w:rsidR="00B75D9F" w:rsidRPr="00C8072A">
        <w:rPr>
          <w:rFonts w:cstheme="minorHAnsi"/>
          <w:lang w:val="en"/>
        </w:rPr>
        <w:t xml:space="preserve"> projects will be required to provide a clear description of outputs and to identify </w:t>
      </w:r>
      <w:r w:rsidR="00B75D9F">
        <w:rPr>
          <w:rFonts w:cstheme="minorHAnsi"/>
          <w:lang w:val="en"/>
        </w:rPr>
        <w:t xml:space="preserve">objectives </w:t>
      </w:r>
      <w:r w:rsidR="00B75D9F" w:rsidRPr="00C8072A">
        <w:rPr>
          <w:rFonts w:cstheme="minorHAnsi"/>
          <w:lang w:val="en"/>
        </w:rPr>
        <w:t>and Key Performance Indicators (KPIs).</w:t>
      </w:r>
    </w:p>
    <w:p w14:paraId="1C89EA6C" w14:textId="7596BA33" w:rsidR="0044545B" w:rsidRDefault="0044545B" w:rsidP="0044545B">
      <w:pPr>
        <w:rPr>
          <w:rFonts w:cstheme="minorHAnsi"/>
          <w:lang w:val="en"/>
        </w:rPr>
      </w:pPr>
      <w:r>
        <w:t xml:space="preserve">4.3 </w:t>
      </w:r>
      <w:r w:rsidRPr="00742BA1">
        <w:rPr>
          <w:rFonts w:cstheme="minorHAnsi"/>
          <w:lang w:val="en"/>
        </w:rPr>
        <w:t>Whilst the focus is lar</w:t>
      </w:r>
      <w:r>
        <w:rPr>
          <w:rFonts w:cstheme="minorHAnsi"/>
          <w:lang w:val="en"/>
        </w:rPr>
        <w:t>gely on the impact outside the U</w:t>
      </w:r>
      <w:r w:rsidRPr="00742BA1">
        <w:rPr>
          <w:rFonts w:cstheme="minorHAnsi"/>
          <w:lang w:val="en"/>
        </w:rPr>
        <w:t>niversity, a key element of all end of project and biannual reporting will be the evaluation of the impact on our researchers, particularly with respect to the areas of capacity building.</w:t>
      </w:r>
    </w:p>
    <w:p w14:paraId="097431D3" w14:textId="52E25E78" w:rsidR="005C7EEE" w:rsidRPr="00C8072A" w:rsidRDefault="005C7EEE" w:rsidP="0044545B">
      <w:r>
        <w:rPr>
          <w:rFonts w:cstheme="minorHAnsi"/>
          <w:lang w:val="en"/>
        </w:rPr>
        <w:t>4.4 Applications will need to demonstrate a clear link to previous BBSRC funding.</w:t>
      </w:r>
    </w:p>
    <w:p w14:paraId="1D9BBC77" w14:textId="03044F91" w:rsidR="00BA032A" w:rsidRDefault="0044545B" w:rsidP="00BA03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</w:t>
      </w:r>
      <w:r w:rsidR="00FE46B6">
        <w:rPr>
          <w:sz w:val="22"/>
          <w:szCs w:val="22"/>
        </w:rPr>
        <w:t>5</w:t>
      </w:r>
      <w:r w:rsidR="00BA032A" w:rsidRPr="00BA032A">
        <w:rPr>
          <w:sz w:val="22"/>
          <w:szCs w:val="22"/>
        </w:rPr>
        <w:t xml:space="preserve"> Award recipients may not hold more than one Follow-on Fund grant concurrently. Unsuccessful projects may only be resubmitted where this is invited by the Management Group. </w:t>
      </w:r>
    </w:p>
    <w:p w14:paraId="16CD7641" w14:textId="633E4AF7" w:rsidR="005C7EEE" w:rsidRDefault="005C7EEE" w:rsidP="00BA032A">
      <w:pPr>
        <w:pStyle w:val="Default"/>
        <w:rPr>
          <w:sz w:val="22"/>
          <w:szCs w:val="22"/>
        </w:rPr>
      </w:pPr>
    </w:p>
    <w:p w14:paraId="01F9F3E6" w14:textId="698A2E57" w:rsidR="005C7EEE" w:rsidRDefault="00FE46B6" w:rsidP="005C7EEE">
      <w:pPr>
        <w:pStyle w:val="Default"/>
        <w:spacing w:after="253"/>
        <w:rPr>
          <w:sz w:val="21"/>
          <w:szCs w:val="21"/>
        </w:rPr>
      </w:pPr>
      <w:r>
        <w:rPr>
          <w:sz w:val="21"/>
          <w:szCs w:val="21"/>
        </w:rPr>
        <w:t>4.6</w:t>
      </w:r>
      <w:r w:rsidR="005C7EEE">
        <w:rPr>
          <w:sz w:val="21"/>
          <w:szCs w:val="21"/>
        </w:rPr>
        <w:t xml:space="preserve"> Applications will be reviewed by a core panel, supported by a peer review assessment. </w:t>
      </w:r>
    </w:p>
    <w:p w14:paraId="76A93FFF" w14:textId="14F066CF" w:rsidR="005C7EEE" w:rsidRDefault="00FE46B6" w:rsidP="005C7EEE">
      <w:pPr>
        <w:pStyle w:val="Default"/>
        <w:spacing w:after="253"/>
        <w:rPr>
          <w:sz w:val="21"/>
          <w:szCs w:val="21"/>
        </w:rPr>
      </w:pPr>
      <w:r>
        <w:rPr>
          <w:sz w:val="21"/>
          <w:szCs w:val="21"/>
        </w:rPr>
        <w:t>4.7</w:t>
      </w:r>
      <w:r w:rsidR="005C7EEE">
        <w:rPr>
          <w:sz w:val="21"/>
          <w:szCs w:val="21"/>
        </w:rPr>
        <w:t xml:space="preserve"> Applicants will normally be notified of the decision within 10 working days of the </w:t>
      </w:r>
      <w:r w:rsidR="007023D6" w:rsidRPr="00B75D9F">
        <w:rPr>
          <w:sz w:val="21"/>
          <w:szCs w:val="21"/>
        </w:rPr>
        <w:t>p</w:t>
      </w:r>
      <w:r w:rsidR="005C7EEE" w:rsidRPr="00B75D9F">
        <w:rPr>
          <w:sz w:val="21"/>
          <w:szCs w:val="21"/>
        </w:rPr>
        <w:t>anel</w:t>
      </w:r>
      <w:r w:rsidR="005C7EEE">
        <w:rPr>
          <w:sz w:val="21"/>
          <w:szCs w:val="21"/>
        </w:rPr>
        <w:t xml:space="preserve"> meeting. </w:t>
      </w:r>
    </w:p>
    <w:p w14:paraId="174E97BB" w14:textId="4A3EBAF1" w:rsidR="00BA032A" w:rsidRPr="00FE46B6" w:rsidRDefault="00FE46B6" w:rsidP="00BA032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4.8</w:t>
      </w:r>
      <w:r w:rsidR="005C7EEE">
        <w:rPr>
          <w:sz w:val="21"/>
          <w:szCs w:val="21"/>
        </w:rPr>
        <w:t xml:space="preserve"> Decisions are final and not subject to appeal. </w:t>
      </w:r>
    </w:p>
    <w:p w14:paraId="23AAECC0" w14:textId="202162F8" w:rsidR="008F0D2E" w:rsidRPr="00C8072A" w:rsidRDefault="008F0D2E" w:rsidP="00096C11">
      <w:pPr>
        <w:pStyle w:val="ListParagraph"/>
      </w:pPr>
    </w:p>
    <w:p w14:paraId="17044EE8" w14:textId="5862FC43" w:rsidR="00096C11" w:rsidRPr="00C8072A" w:rsidRDefault="00096C11" w:rsidP="00FE46B6">
      <w:pPr>
        <w:pStyle w:val="ListParagraph"/>
        <w:numPr>
          <w:ilvl w:val="0"/>
          <w:numId w:val="1"/>
        </w:numPr>
        <w:ind w:left="567"/>
      </w:pPr>
      <w:r w:rsidRPr="00C8072A">
        <w:t>Reporting</w:t>
      </w:r>
    </w:p>
    <w:p w14:paraId="08BB109D" w14:textId="38E8DA72" w:rsidR="008F0D2E" w:rsidRPr="00C8072A" w:rsidRDefault="008F0D2E" w:rsidP="008F0D2E">
      <w:pPr>
        <w:pStyle w:val="Default"/>
        <w:spacing w:after="251"/>
        <w:rPr>
          <w:sz w:val="22"/>
          <w:szCs w:val="22"/>
        </w:rPr>
      </w:pPr>
      <w:r w:rsidRPr="00C8072A">
        <w:rPr>
          <w:sz w:val="22"/>
          <w:szCs w:val="22"/>
        </w:rPr>
        <w:t xml:space="preserve">5.1 </w:t>
      </w:r>
      <w:r w:rsidRPr="00C8072A">
        <w:rPr>
          <w:rFonts w:asciiTheme="minorHAnsi" w:hAnsiTheme="minorHAnsi" w:cstheme="minorHAnsi"/>
          <w:sz w:val="22"/>
          <w:szCs w:val="22"/>
          <w:lang w:val="en"/>
        </w:rPr>
        <w:t>The use of PURE for recording outputs is mandatory for IAA funded projects.</w:t>
      </w:r>
    </w:p>
    <w:p w14:paraId="34A080CA" w14:textId="3F0D99D1" w:rsidR="008F0D2E" w:rsidRPr="00C8072A" w:rsidRDefault="000A63A2" w:rsidP="008F0D2E">
      <w:pPr>
        <w:pStyle w:val="Default"/>
        <w:spacing w:after="251"/>
        <w:rPr>
          <w:sz w:val="22"/>
          <w:szCs w:val="22"/>
        </w:rPr>
      </w:pPr>
      <w:r>
        <w:rPr>
          <w:sz w:val="22"/>
          <w:szCs w:val="22"/>
        </w:rPr>
        <w:t>5.2</w:t>
      </w:r>
      <w:r w:rsidR="008F0D2E" w:rsidRPr="00C8072A">
        <w:rPr>
          <w:sz w:val="22"/>
          <w:szCs w:val="22"/>
        </w:rPr>
        <w:t xml:space="preserve"> Award recipients will be required to submit a report detailing expenditure, use and outcomes (for recipients and users) within 4 weeks of the conclusion of the project, and at 9 month intervals for projects of 12 months or longer. </w:t>
      </w:r>
    </w:p>
    <w:p w14:paraId="0C79A18C" w14:textId="4A55F6A9" w:rsidR="008F0D2E" w:rsidRPr="00C8072A" w:rsidRDefault="008F0D2E" w:rsidP="008F0D2E">
      <w:pPr>
        <w:pStyle w:val="Default"/>
        <w:spacing w:after="251"/>
        <w:rPr>
          <w:sz w:val="22"/>
          <w:szCs w:val="22"/>
        </w:rPr>
      </w:pPr>
      <w:r w:rsidRPr="00C8072A">
        <w:rPr>
          <w:sz w:val="22"/>
          <w:szCs w:val="22"/>
        </w:rPr>
        <w:t>5</w:t>
      </w:r>
      <w:r w:rsidR="000A63A2">
        <w:rPr>
          <w:sz w:val="22"/>
          <w:szCs w:val="22"/>
        </w:rPr>
        <w:t>.3</w:t>
      </w:r>
      <w:r w:rsidRPr="00C8072A">
        <w:rPr>
          <w:sz w:val="22"/>
          <w:szCs w:val="22"/>
        </w:rPr>
        <w:t xml:space="preserve"> Additional audit may be conducted at further intervals after the conclusion of projects to track impact leverage over time. </w:t>
      </w:r>
    </w:p>
    <w:p w14:paraId="31373B5F" w14:textId="25C81164" w:rsidR="008F0D2E" w:rsidRPr="00C8072A" w:rsidRDefault="008F0D2E" w:rsidP="008F0D2E">
      <w:pPr>
        <w:pStyle w:val="Default"/>
        <w:spacing w:after="251"/>
        <w:rPr>
          <w:sz w:val="22"/>
          <w:szCs w:val="22"/>
        </w:rPr>
      </w:pPr>
      <w:r w:rsidRPr="00C8072A">
        <w:rPr>
          <w:sz w:val="22"/>
          <w:szCs w:val="22"/>
        </w:rPr>
        <w:t>5</w:t>
      </w:r>
      <w:r w:rsidR="000A63A2">
        <w:rPr>
          <w:sz w:val="22"/>
          <w:szCs w:val="22"/>
        </w:rPr>
        <w:t>.4</w:t>
      </w:r>
      <w:r w:rsidRPr="00C8072A">
        <w:rPr>
          <w:sz w:val="22"/>
          <w:szCs w:val="22"/>
        </w:rPr>
        <w:t xml:space="preserve"> All reporting requirements will be confirmed on award of funding. </w:t>
      </w:r>
    </w:p>
    <w:p w14:paraId="157954A4" w14:textId="5FA5F8D1" w:rsidR="008F0D2E" w:rsidRPr="00C8072A" w:rsidRDefault="008F0D2E" w:rsidP="00FE46B6">
      <w:pPr>
        <w:pStyle w:val="Default"/>
      </w:pPr>
      <w:r w:rsidRPr="00C8072A">
        <w:rPr>
          <w:sz w:val="22"/>
          <w:szCs w:val="22"/>
        </w:rPr>
        <w:t>5</w:t>
      </w:r>
      <w:r w:rsidR="000A63A2">
        <w:rPr>
          <w:sz w:val="22"/>
          <w:szCs w:val="22"/>
        </w:rPr>
        <w:t>.5</w:t>
      </w:r>
      <w:r w:rsidRPr="00C8072A">
        <w:rPr>
          <w:sz w:val="22"/>
          <w:szCs w:val="22"/>
        </w:rPr>
        <w:t xml:space="preserve"> A final report will be required for any completed IAA funded projects before further funding applications will be considered. </w:t>
      </w:r>
    </w:p>
    <w:sectPr w:rsidR="008F0D2E" w:rsidRPr="00C8072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7A5CC" w14:textId="77777777" w:rsidR="00B372C3" w:rsidRDefault="00B372C3" w:rsidP="005567D3">
      <w:pPr>
        <w:spacing w:after="0" w:line="240" w:lineRule="auto"/>
      </w:pPr>
      <w:r>
        <w:separator/>
      </w:r>
    </w:p>
  </w:endnote>
  <w:endnote w:type="continuationSeparator" w:id="0">
    <w:p w14:paraId="4D934BD0" w14:textId="77777777" w:rsidR="00B372C3" w:rsidRDefault="00B372C3" w:rsidP="0055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CD9EC" w14:textId="77777777" w:rsidR="00B372C3" w:rsidRDefault="00B372C3" w:rsidP="005567D3">
      <w:pPr>
        <w:spacing w:after="0" w:line="240" w:lineRule="auto"/>
      </w:pPr>
      <w:r>
        <w:separator/>
      </w:r>
    </w:p>
  </w:footnote>
  <w:footnote w:type="continuationSeparator" w:id="0">
    <w:p w14:paraId="21E2F1E7" w14:textId="77777777" w:rsidR="00B372C3" w:rsidRDefault="00B372C3" w:rsidP="0055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A4BB" w14:textId="6EAA6705" w:rsidR="005567D3" w:rsidRDefault="00C8072A" w:rsidP="00C8072A">
    <w:pPr>
      <w:pStyle w:val="Header"/>
      <w:jc w:val="right"/>
    </w:pPr>
    <w:r w:rsidRPr="00C8072A">
      <w:rPr>
        <w:noProof/>
        <w:lang w:eastAsia="en-GB"/>
      </w:rPr>
      <w:drawing>
        <wp:inline distT="0" distB="0" distL="0" distR="0" wp14:anchorId="13B8DBEB" wp14:editId="4B911AB3">
          <wp:extent cx="1619673" cy="30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283" cy="31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567D3">
      <w:rPr>
        <w:noProof/>
        <w:lang w:eastAsia="en-GB"/>
      </w:rPr>
      <w:drawing>
        <wp:inline distT="0" distB="0" distL="0" distR="0" wp14:anchorId="7401986E" wp14:editId="7C41A639">
          <wp:extent cx="1217851" cy="3048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SR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498" cy="308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48B74" w14:textId="77777777" w:rsidR="005567D3" w:rsidRDefault="00556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D7349"/>
    <w:multiLevelType w:val="hybridMultilevel"/>
    <w:tmpl w:val="C9F2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D566B"/>
    <w:multiLevelType w:val="multilevel"/>
    <w:tmpl w:val="78F4B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" w15:restartNumberingAfterBreak="0">
    <w:nsid w:val="5F086E73"/>
    <w:multiLevelType w:val="multilevel"/>
    <w:tmpl w:val="140678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3" w15:restartNumberingAfterBreak="0">
    <w:nsid w:val="6BB00616"/>
    <w:multiLevelType w:val="multilevel"/>
    <w:tmpl w:val="140678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4" w15:restartNumberingAfterBreak="0">
    <w:nsid w:val="712E3919"/>
    <w:multiLevelType w:val="hybridMultilevel"/>
    <w:tmpl w:val="F888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D3"/>
    <w:rsid w:val="00096C11"/>
    <w:rsid w:val="000A63A2"/>
    <w:rsid w:val="0011313C"/>
    <w:rsid w:val="00292200"/>
    <w:rsid w:val="002C60EA"/>
    <w:rsid w:val="0030731C"/>
    <w:rsid w:val="00391A96"/>
    <w:rsid w:val="0044545B"/>
    <w:rsid w:val="00492F3A"/>
    <w:rsid w:val="005042B5"/>
    <w:rsid w:val="005268F5"/>
    <w:rsid w:val="005567D3"/>
    <w:rsid w:val="005C7EEE"/>
    <w:rsid w:val="005D1E28"/>
    <w:rsid w:val="005F60C1"/>
    <w:rsid w:val="00655A09"/>
    <w:rsid w:val="007023D6"/>
    <w:rsid w:val="007113AF"/>
    <w:rsid w:val="008F0D2E"/>
    <w:rsid w:val="009B5E67"/>
    <w:rsid w:val="00AD7159"/>
    <w:rsid w:val="00B372C3"/>
    <w:rsid w:val="00B54B70"/>
    <w:rsid w:val="00B75D9F"/>
    <w:rsid w:val="00BA032A"/>
    <w:rsid w:val="00BC27AD"/>
    <w:rsid w:val="00C8072A"/>
    <w:rsid w:val="00CE1AC4"/>
    <w:rsid w:val="00E14378"/>
    <w:rsid w:val="00E2039F"/>
    <w:rsid w:val="00F06756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AB948C"/>
  <w15:docId w15:val="{7E8999B1-0655-4563-B4F9-9CB2D325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D3"/>
  </w:style>
  <w:style w:type="paragraph" w:styleId="Footer">
    <w:name w:val="footer"/>
    <w:basedOn w:val="Normal"/>
    <w:link w:val="FooterChar"/>
    <w:uiPriority w:val="99"/>
    <w:unhideWhenUsed/>
    <w:rsid w:val="00556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D3"/>
  </w:style>
  <w:style w:type="paragraph" w:styleId="ListParagraph">
    <w:name w:val="List Paragraph"/>
    <w:basedOn w:val="Normal"/>
    <w:link w:val="ListParagraphChar"/>
    <w:uiPriority w:val="34"/>
    <w:qFormat/>
    <w:rsid w:val="00526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A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04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F0D2E"/>
  </w:style>
  <w:style w:type="character" w:styleId="FollowedHyperlink">
    <w:name w:val="FollowedHyperlink"/>
    <w:basedOn w:val="DefaultParagraphFont"/>
    <w:uiPriority w:val="99"/>
    <w:semiHidden/>
    <w:unhideWhenUsed/>
    <w:rsid w:val="00307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irmingham.ac.uk/finance/ris/research-funding/Internal-Funding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kri.org/funding/information-for-award-holders/grant-terms-and-condi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l.herron.1@bham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EAC2-A378-4C40-BA39-16261053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Herron</dc:creator>
  <cp:lastModifiedBy>Michelle Read (Enterprise and Innovation)</cp:lastModifiedBy>
  <cp:revision>3</cp:revision>
  <dcterms:created xsi:type="dcterms:W3CDTF">2018-09-06T15:11:00Z</dcterms:created>
  <dcterms:modified xsi:type="dcterms:W3CDTF">2018-09-19T10:20:00Z</dcterms:modified>
</cp:coreProperties>
</file>