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BF" w:rsidRPr="00D32AA2" w:rsidRDefault="000E45C7" w:rsidP="00F21A9F">
      <w:pPr>
        <w:pStyle w:val="Title"/>
        <w:jc w:val="center"/>
        <w:rPr>
          <w:rFonts w:asciiTheme="minorHAnsi" w:hAnsiTheme="minorHAnsi"/>
          <w:b/>
          <w:sz w:val="36"/>
          <w:szCs w:val="36"/>
        </w:rPr>
      </w:pPr>
      <w:r w:rsidRPr="00D32AA2">
        <w:rPr>
          <w:rFonts w:asciiTheme="minorHAnsi" w:hAnsiTheme="minorHAnsi"/>
          <w:b/>
          <w:sz w:val="36"/>
          <w:szCs w:val="36"/>
        </w:rPr>
        <w:t>Birmingham-Wellcome Trust Career Development Hub</w:t>
      </w:r>
    </w:p>
    <w:p w:rsidR="000E45C7" w:rsidRPr="00D32AA2" w:rsidRDefault="000E45C7" w:rsidP="00D32AA2">
      <w:pPr>
        <w:pStyle w:val="Title"/>
        <w:spacing w:after="0"/>
        <w:jc w:val="center"/>
        <w:rPr>
          <w:rFonts w:asciiTheme="minorHAnsi" w:hAnsiTheme="minorHAnsi"/>
          <w:b/>
          <w:sz w:val="36"/>
          <w:szCs w:val="36"/>
        </w:rPr>
      </w:pPr>
      <w:r w:rsidRPr="00D32AA2">
        <w:rPr>
          <w:rFonts w:asciiTheme="minorHAnsi" w:hAnsiTheme="minorHAnsi"/>
          <w:b/>
          <w:sz w:val="36"/>
          <w:szCs w:val="36"/>
        </w:rPr>
        <w:t>Funding guidelines</w:t>
      </w:r>
    </w:p>
    <w:p w:rsidR="00D32AA2" w:rsidRPr="00466524" w:rsidRDefault="00D32AA2" w:rsidP="00D32AA2">
      <w:pPr>
        <w:pStyle w:val="Heading1"/>
        <w:spacing w:before="0" w:line="240" w:lineRule="auto"/>
        <w:rPr>
          <w:rFonts w:asciiTheme="minorHAnsi" w:hAnsiTheme="minorHAnsi"/>
          <w:sz w:val="10"/>
          <w:szCs w:val="10"/>
        </w:rPr>
      </w:pPr>
      <w:bookmarkStart w:id="0" w:name="_Toc477960440"/>
    </w:p>
    <w:p w:rsidR="000F26BB" w:rsidRPr="00FD0EFE" w:rsidRDefault="000F26BB" w:rsidP="00D32AA2">
      <w:pPr>
        <w:pStyle w:val="Heading1"/>
        <w:spacing w:before="0" w:line="240" w:lineRule="auto"/>
        <w:rPr>
          <w:rFonts w:asciiTheme="minorHAnsi" w:hAnsiTheme="minorHAnsi"/>
          <w:sz w:val="26"/>
          <w:szCs w:val="26"/>
        </w:rPr>
      </w:pPr>
      <w:r w:rsidRPr="00FD0EFE">
        <w:rPr>
          <w:rFonts w:asciiTheme="minorHAnsi" w:hAnsiTheme="minorHAnsi"/>
          <w:sz w:val="26"/>
          <w:szCs w:val="26"/>
        </w:rPr>
        <w:t>Background</w:t>
      </w:r>
      <w:r w:rsidR="00CD71E5" w:rsidRPr="00FD0EFE">
        <w:rPr>
          <w:rFonts w:asciiTheme="minorHAnsi" w:hAnsiTheme="minorHAnsi"/>
          <w:sz w:val="26"/>
          <w:szCs w:val="26"/>
        </w:rPr>
        <w:t xml:space="preserve"> and principles</w:t>
      </w:r>
      <w:bookmarkEnd w:id="0"/>
      <w:r w:rsidR="00CD71E5" w:rsidRPr="00FD0EFE">
        <w:rPr>
          <w:rFonts w:asciiTheme="minorHAnsi" w:hAnsiTheme="minorHAnsi"/>
          <w:sz w:val="26"/>
          <w:szCs w:val="26"/>
        </w:rPr>
        <w:t xml:space="preserve"> </w:t>
      </w:r>
    </w:p>
    <w:p w:rsidR="00CC065E" w:rsidRPr="00FD0EFE" w:rsidRDefault="007B29D9" w:rsidP="00D32AA2">
      <w:pPr>
        <w:spacing w:after="0" w:line="240" w:lineRule="auto"/>
        <w:jc w:val="both"/>
        <w:rPr>
          <w:sz w:val="21"/>
          <w:szCs w:val="21"/>
        </w:rPr>
      </w:pPr>
      <w:r w:rsidRPr="00FD0EFE">
        <w:rPr>
          <w:sz w:val="21"/>
          <w:szCs w:val="21"/>
        </w:rPr>
        <w:t>I</w:t>
      </w:r>
      <w:r w:rsidR="00CC065E" w:rsidRPr="00FD0EFE">
        <w:rPr>
          <w:sz w:val="21"/>
          <w:szCs w:val="21"/>
        </w:rPr>
        <w:t>n partnership with the Wellcome Trust (via their Institutional Strategic Support Fund)</w:t>
      </w:r>
      <w:r w:rsidRPr="00FD0EFE">
        <w:rPr>
          <w:sz w:val="21"/>
          <w:szCs w:val="21"/>
        </w:rPr>
        <w:t>, the University</w:t>
      </w:r>
      <w:r w:rsidR="00CC065E" w:rsidRPr="00FD0EFE">
        <w:rPr>
          <w:sz w:val="21"/>
          <w:szCs w:val="21"/>
        </w:rPr>
        <w:t xml:space="preserve"> is now establishing a </w:t>
      </w:r>
      <w:r w:rsidR="00CC065E" w:rsidRPr="00542AAE">
        <w:rPr>
          <w:b/>
          <w:sz w:val="21"/>
          <w:szCs w:val="21"/>
        </w:rPr>
        <w:t>Life Sciences</w:t>
      </w:r>
      <w:r w:rsidR="00CC065E" w:rsidRPr="00FD0EFE">
        <w:rPr>
          <w:sz w:val="21"/>
          <w:szCs w:val="21"/>
        </w:rPr>
        <w:t>-focused Career Development Hub</w:t>
      </w:r>
      <w:r w:rsidR="00CA2497" w:rsidRPr="00FD0EFE">
        <w:rPr>
          <w:sz w:val="21"/>
          <w:szCs w:val="21"/>
        </w:rPr>
        <w:t xml:space="preserve">, </w:t>
      </w:r>
      <w:hyperlink r:id="rId8" w:history="1">
        <w:r w:rsidR="00CA2497" w:rsidRPr="00FD0EFE">
          <w:rPr>
            <w:rStyle w:val="Hyperlink"/>
            <w:sz w:val="21"/>
            <w:szCs w:val="21"/>
          </w:rPr>
          <w:t xml:space="preserve">mirroring the broad </w:t>
        </w:r>
        <w:r w:rsidRPr="00FD0EFE">
          <w:rPr>
            <w:rStyle w:val="Hyperlink"/>
            <w:sz w:val="21"/>
            <w:szCs w:val="21"/>
          </w:rPr>
          <w:t xml:space="preserve">research </w:t>
        </w:r>
        <w:r w:rsidR="00CA2497" w:rsidRPr="00FD0EFE">
          <w:rPr>
            <w:rStyle w:val="Hyperlink"/>
            <w:sz w:val="21"/>
            <w:szCs w:val="21"/>
          </w:rPr>
          <w:t xml:space="preserve">remit of </w:t>
        </w:r>
        <w:r w:rsidR="00EA459D">
          <w:rPr>
            <w:rStyle w:val="Hyperlink"/>
            <w:sz w:val="21"/>
            <w:szCs w:val="21"/>
          </w:rPr>
          <w:t xml:space="preserve">the </w:t>
        </w:r>
        <w:r w:rsidR="00CA2497" w:rsidRPr="00FD0EFE">
          <w:rPr>
            <w:rStyle w:val="Hyperlink"/>
            <w:sz w:val="21"/>
            <w:szCs w:val="21"/>
          </w:rPr>
          <w:t>Wellcome</w:t>
        </w:r>
      </w:hyperlink>
      <w:r w:rsidR="00EA459D">
        <w:rPr>
          <w:rStyle w:val="Hyperlink"/>
          <w:sz w:val="21"/>
          <w:szCs w:val="21"/>
        </w:rPr>
        <w:t xml:space="preserve"> Trust</w:t>
      </w:r>
      <w:r w:rsidR="00CA2497" w:rsidRPr="00FD0EFE">
        <w:rPr>
          <w:sz w:val="21"/>
          <w:szCs w:val="21"/>
        </w:rPr>
        <w:t xml:space="preserve"> in terms of support and funding eligibility</w:t>
      </w:r>
      <w:r w:rsidR="00CC065E" w:rsidRPr="00FD0EFE">
        <w:rPr>
          <w:sz w:val="21"/>
          <w:szCs w:val="21"/>
        </w:rPr>
        <w:t>. The key themes within this are:</w:t>
      </w:r>
      <w:r w:rsidR="00D00707" w:rsidRPr="00FD0EFE">
        <w:rPr>
          <w:sz w:val="21"/>
          <w:szCs w:val="21"/>
        </w:rPr>
        <w:t xml:space="preserve"> </w:t>
      </w:r>
      <w:r w:rsidR="00CC065E" w:rsidRPr="00FD0EFE">
        <w:rPr>
          <w:sz w:val="21"/>
          <w:szCs w:val="21"/>
        </w:rPr>
        <w:t xml:space="preserve">effective management of </w:t>
      </w:r>
      <w:r w:rsidR="00CC065E" w:rsidRPr="00FD0EFE">
        <w:rPr>
          <w:b/>
          <w:i/>
          <w:sz w:val="21"/>
          <w:szCs w:val="21"/>
        </w:rPr>
        <w:t>critical career transition points</w:t>
      </w:r>
      <w:r w:rsidR="00CC065E" w:rsidRPr="00FD0EFE">
        <w:rPr>
          <w:sz w:val="21"/>
          <w:szCs w:val="21"/>
        </w:rPr>
        <w:t xml:space="preserve"> where researchers are vulnerable;</w:t>
      </w:r>
      <w:r w:rsidR="00D00707" w:rsidRPr="00FD0EFE">
        <w:rPr>
          <w:sz w:val="21"/>
          <w:szCs w:val="21"/>
        </w:rPr>
        <w:t xml:space="preserve"> </w:t>
      </w:r>
      <w:r w:rsidR="00CC065E" w:rsidRPr="00FD0EFE">
        <w:rPr>
          <w:sz w:val="21"/>
          <w:szCs w:val="21"/>
        </w:rPr>
        <w:t xml:space="preserve">support for </w:t>
      </w:r>
      <w:r w:rsidR="00CC065E" w:rsidRPr="00FD0EFE">
        <w:rPr>
          <w:b/>
          <w:i/>
          <w:sz w:val="21"/>
          <w:szCs w:val="21"/>
        </w:rPr>
        <w:t>increased flexibility and responsiveness</w:t>
      </w:r>
      <w:r w:rsidR="00CC065E" w:rsidRPr="00FD0EFE">
        <w:rPr>
          <w:sz w:val="21"/>
          <w:szCs w:val="21"/>
        </w:rPr>
        <w:t xml:space="preserve"> to research opportunities; further support to promote </w:t>
      </w:r>
      <w:r w:rsidR="00CC065E" w:rsidRPr="00FD0EFE">
        <w:rPr>
          <w:b/>
          <w:i/>
          <w:sz w:val="21"/>
          <w:szCs w:val="21"/>
        </w:rPr>
        <w:t>development of skills and collaborations</w:t>
      </w:r>
      <w:r w:rsidR="00A748B3" w:rsidRPr="00FD0EFE">
        <w:rPr>
          <w:sz w:val="21"/>
          <w:szCs w:val="21"/>
        </w:rPr>
        <w:t>, particularly interdisciplinary</w:t>
      </w:r>
      <w:r w:rsidRPr="00FD0EFE">
        <w:rPr>
          <w:sz w:val="21"/>
          <w:szCs w:val="21"/>
        </w:rPr>
        <w:t xml:space="preserve">; </w:t>
      </w:r>
      <w:r w:rsidR="00CC065E" w:rsidRPr="00FD0EFE">
        <w:rPr>
          <w:i/>
          <w:sz w:val="21"/>
          <w:szCs w:val="21"/>
        </w:rPr>
        <w:t>and</w:t>
      </w:r>
      <w:r w:rsidR="00CC065E" w:rsidRPr="00FD0EFE">
        <w:rPr>
          <w:sz w:val="21"/>
          <w:szCs w:val="21"/>
        </w:rPr>
        <w:t xml:space="preserve"> </w:t>
      </w:r>
      <w:r w:rsidRPr="00FD0EFE">
        <w:rPr>
          <w:sz w:val="21"/>
          <w:szCs w:val="21"/>
        </w:rPr>
        <w:t>ensuring</w:t>
      </w:r>
      <w:r w:rsidR="00CC065E" w:rsidRPr="00FD0EFE">
        <w:rPr>
          <w:sz w:val="21"/>
          <w:szCs w:val="21"/>
        </w:rPr>
        <w:t xml:space="preserve"> </w:t>
      </w:r>
      <w:r w:rsidR="00CC065E" w:rsidRPr="00FD0EFE">
        <w:rPr>
          <w:b/>
          <w:i/>
          <w:sz w:val="21"/>
          <w:szCs w:val="21"/>
        </w:rPr>
        <w:t>equality and diversity</w:t>
      </w:r>
      <w:r w:rsidR="00CC065E" w:rsidRPr="00FD0EFE">
        <w:rPr>
          <w:sz w:val="21"/>
          <w:szCs w:val="21"/>
        </w:rPr>
        <w:t xml:space="preserve"> in research careers.</w:t>
      </w:r>
    </w:p>
    <w:p w:rsidR="00D32AA2" w:rsidRPr="0091206F" w:rsidRDefault="00D32AA2" w:rsidP="00F21A9F">
      <w:pPr>
        <w:pStyle w:val="Heading1"/>
        <w:spacing w:before="0" w:line="240" w:lineRule="auto"/>
        <w:rPr>
          <w:rFonts w:asciiTheme="minorHAnsi" w:hAnsiTheme="minorHAnsi"/>
          <w:sz w:val="20"/>
          <w:szCs w:val="20"/>
        </w:rPr>
      </w:pPr>
      <w:bookmarkStart w:id="1" w:name="_Toc477960441"/>
    </w:p>
    <w:p w:rsidR="00CD71E5" w:rsidRPr="00FD0EFE" w:rsidRDefault="00CD71E5" w:rsidP="00F21A9F">
      <w:pPr>
        <w:pStyle w:val="Heading1"/>
        <w:spacing w:before="0" w:line="240" w:lineRule="auto"/>
        <w:rPr>
          <w:rFonts w:asciiTheme="minorHAnsi" w:hAnsiTheme="minorHAnsi"/>
          <w:sz w:val="26"/>
          <w:szCs w:val="26"/>
        </w:rPr>
      </w:pPr>
      <w:r w:rsidRPr="00FD0EFE">
        <w:rPr>
          <w:rFonts w:asciiTheme="minorHAnsi" w:hAnsiTheme="minorHAnsi"/>
          <w:sz w:val="26"/>
          <w:szCs w:val="26"/>
        </w:rPr>
        <w:t>What does the Career Development Hub cover?</w:t>
      </w:r>
      <w:bookmarkEnd w:id="1"/>
    </w:p>
    <w:p w:rsidR="00CC065E" w:rsidRPr="00FD0EFE" w:rsidRDefault="00CC065E" w:rsidP="00F21A9F">
      <w:pPr>
        <w:spacing w:after="0" w:line="240" w:lineRule="auto"/>
        <w:jc w:val="both"/>
        <w:rPr>
          <w:sz w:val="21"/>
          <w:szCs w:val="21"/>
        </w:rPr>
      </w:pPr>
      <w:r w:rsidRPr="00FD0EFE">
        <w:rPr>
          <w:sz w:val="21"/>
          <w:szCs w:val="21"/>
        </w:rPr>
        <w:t>This approach covers a range of career stages</w:t>
      </w:r>
      <w:r w:rsidR="00CA2497" w:rsidRPr="00FD0EFE">
        <w:rPr>
          <w:sz w:val="21"/>
          <w:szCs w:val="21"/>
        </w:rPr>
        <w:t xml:space="preserve"> within the Life Sciences</w:t>
      </w:r>
      <w:r w:rsidRPr="00FD0EFE">
        <w:rPr>
          <w:sz w:val="21"/>
          <w:szCs w:val="21"/>
        </w:rPr>
        <w:t>, most importantly:</w:t>
      </w:r>
    </w:p>
    <w:p w:rsidR="00CC065E" w:rsidRPr="00FD0EFE" w:rsidRDefault="00CC065E" w:rsidP="00D00707">
      <w:pPr>
        <w:pStyle w:val="ListParagraph"/>
        <w:numPr>
          <w:ilvl w:val="0"/>
          <w:numId w:val="2"/>
        </w:numPr>
        <w:spacing w:after="0" w:line="240" w:lineRule="auto"/>
        <w:jc w:val="both"/>
        <w:rPr>
          <w:sz w:val="21"/>
          <w:szCs w:val="21"/>
        </w:rPr>
      </w:pPr>
      <w:r w:rsidRPr="00FD0EFE">
        <w:rPr>
          <w:sz w:val="21"/>
          <w:szCs w:val="21"/>
        </w:rPr>
        <w:t xml:space="preserve">Transition from </w:t>
      </w:r>
      <w:r w:rsidRPr="00FD0EFE">
        <w:rPr>
          <w:b/>
          <w:sz w:val="21"/>
          <w:szCs w:val="21"/>
        </w:rPr>
        <w:t>PhD to post-doctoral</w:t>
      </w:r>
      <w:r w:rsidRPr="00FD0EFE">
        <w:rPr>
          <w:sz w:val="21"/>
          <w:szCs w:val="21"/>
        </w:rPr>
        <w:t xml:space="preserve"> Fellowships;</w:t>
      </w:r>
    </w:p>
    <w:p w:rsidR="00CC065E" w:rsidRPr="00FD0EFE" w:rsidRDefault="00CC065E" w:rsidP="00D00707">
      <w:pPr>
        <w:pStyle w:val="ListParagraph"/>
        <w:numPr>
          <w:ilvl w:val="0"/>
          <w:numId w:val="2"/>
        </w:numPr>
        <w:spacing w:after="0" w:line="240" w:lineRule="auto"/>
        <w:jc w:val="both"/>
        <w:rPr>
          <w:sz w:val="21"/>
          <w:szCs w:val="21"/>
        </w:rPr>
      </w:pPr>
      <w:r w:rsidRPr="00FD0EFE">
        <w:rPr>
          <w:b/>
          <w:sz w:val="21"/>
          <w:szCs w:val="21"/>
        </w:rPr>
        <w:t>Early-career postdoctoral researchers and Lecturers</w:t>
      </w:r>
      <w:r w:rsidRPr="00FD0EFE">
        <w:rPr>
          <w:sz w:val="21"/>
          <w:szCs w:val="21"/>
        </w:rPr>
        <w:t xml:space="preserve"> looking to secure their first major Fellowship or personal award as lead investigator;</w:t>
      </w:r>
    </w:p>
    <w:p w:rsidR="00CC065E" w:rsidRPr="00FD0EFE" w:rsidRDefault="00CC065E" w:rsidP="00F21A9F">
      <w:pPr>
        <w:pStyle w:val="ListParagraph"/>
        <w:numPr>
          <w:ilvl w:val="0"/>
          <w:numId w:val="2"/>
        </w:numPr>
        <w:spacing w:after="0" w:line="240" w:lineRule="auto"/>
        <w:jc w:val="both"/>
        <w:rPr>
          <w:sz w:val="21"/>
          <w:szCs w:val="21"/>
        </w:rPr>
      </w:pPr>
      <w:r w:rsidRPr="00FD0EFE">
        <w:rPr>
          <w:b/>
          <w:sz w:val="21"/>
          <w:szCs w:val="21"/>
        </w:rPr>
        <w:t>Mid-career researchers</w:t>
      </w:r>
      <w:r w:rsidRPr="00FD0EFE">
        <w:rPr>
          <w:sz w:val="21"/>
          <w:szCs w:val="21"/>
        </w:rPr>
        <w:t xml:space="preserve"> facing challenges to maintain career trajectory when moving from externally-funded Fellowships </w:t>
      </w:r>
      <w:r w:rsidR="00BF5647" w:rsidRPr="00FD0EFE">
        <w:rPr>
          <w:sz w:val="21"/>
          <w:szCs w:val="21"/>
        </w:rPr>
        <w:t>and/</w:t>
      </w:r>
      <w:r w:rsidRPr="00FD0EFE">
        <w:rPr>
          <w:sz w:val="21"/>
          <w:szCs w:val="21"/>
        </w:rPr>
        <w:t>or adapting their research direction.</w:t>
      </w:r>
    </w:p>
    <w:p w:rsidR="00F21A9F" w:rsidRPr="0091206F" w:rsidRDefault="00F21A9F" w:rsidP="00F21A9F">
      <w:pPr>
        <w:pStyle w:val="Heading1"/>
        <w:spacing w:before="0" w:line="240" w:lineRule="auto"/>
        <w:rPr>
          <w:rFonts w:asciiTheme="minorHAnsi" w:hAnsiTheme="minorHAnsi"/>
          <w:sz w:val="20"/>
          <w:szCs w:val="20"/>
        </w:rPr>
      </w:pPr>
    </w:p>
    <w:p w:rsidR="00CD71E5" w:rsidRDefault="00CD71E5" w:rsidP="00F21A9F">
      <w:pPr>
        <w:pStyle w:val="Heading1"/>
        <w:spacing w:before="0" w:line="240" w:lineRule="auto"/>
        <w:rPr>
          <w:rFonts w:asciiTheme="minorHAnsi" w:hAnsiTheme="minorHAnsi"/>
          <w:sz w:val="26"/>
          <w:szCs w:val="26"/>
        </w:rPr>
      </w:pPr>
      <w:bookmarkStart w:id="2" w:name="_Toc477960442"/>
      <w:r w:rsidRPr="00FD0EFE">
        <w:rPr>
          <w:rFonts w:asciiTheme="minorHAnsi" w:hAnsiTheme="minorHAnsi"/>
          <w:sz w:val="26"/>
          <w:szCs w:val="26"/>
        </w:rPr>
        <w:t>Funding options available</w:t>
      </w:r>
      <w:bookmarkEnd w:id="2"/>
    </w:p>
    <w:p w:rsidR="00F44BDC" w:rsidRDefault="00F44BDC" w:rsidP="00F44BDC">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35560</wp:posOffset>
                </wp:positionV>
                <wp:extent cx="6400800" cy="1866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00800" cy="18669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8100000" scaled="1"/>
                          <a:tileRect/>
                        </a:gradFill>
                        <a:ln/>
                      </wps:spPr>
                      <wps:style>
                        <a:lnRef idx="2">
                          <a:schemeClr val="accent3"/>
                        </a:lnRef>
                        <a:fillRef idx="1">
                          <a:schemeClr val="lt1"/>
                        </a:fillRef>
                        <a:effectRef idx="0">
                          <a:schemeClr val="accent3"/>
                        </a:effectRef>
                        <a:fontRef idx="minor">
                          <a:schemeClr val="dk1"/>
                        </a:fontRef>
                      </wps:style>
                      <wps:txbx>
                        <w:txbxContent>
                          <w:p w:rsidR="001950DB" w:rsidRDefault="001950DB" w:rsidP="00F44BDC">
                            <w:pPr>
                              <w:spacing w:after="0" w:line="240" w:lineRule="auto"/>
                            </w:pPr>
                            <w:r>
                              <w:t>Applications are reviewed by a panel at a series of panel meeting held during the academ</w:t>
                            </w:r>
                            <w:r w:rsidR="0080053C">
                              <w:t>ic year:</w:t>
                            </w:r>
                          </w:p>
                          <w:p w:rsidR="0080053C" w:rsidRDefault="0080053C" w:rsidP="00F44BDC">
                            <w:pPr>
                              <w:spacing w:after="0" w:line="240" w:lineRule="auto"/>
                            </w:pPr>
                          </w:p>
                          <w:p w:rsidR="0080053C" w:rsidRDefault="0080053C" w:rsidP="009340AF">
                            <w:pPr>
                              <w:spacing w:after="0" w:line="240" w:lineRule="auto"/>
                            </w:pPr>
                            <w:r>
                              <w:t xml:space="preserve">Autumn 2019 Round: </w:t>
                            </w:r>
                            <w:r>
                              <w:tab/>
                              <w:t xml:space="preserve">Opens Monday </w:t>
                            </w:r>
                            <w:r w:rsidR="009340AF">
                              <w:t>14</w:t>
                            </w:r>
                            <w:r w:rsidR="009340AF" w:rsidRPr="009340AF">
                              <w:rPr>
                                <w:vertAlign w:val="superscript"/>
                              </w:rPr>
                              <w:t>th</w:t>
                            </w:r>
                            <w:r w:rsidR="009340AF">
                              <w:t xml:space="preserve"> September 2020</w:t>
                            </w:r>
                          </w:p>
                          <w:p w:rsidR="009340AF" w:rsidRDefault="009340AF" w:rsidP="009340AF">
                            <w:pPr>
                              <w:spacing w:after="0" w:line="240" w:lineRule="auto"/>
                            </w:pPr>
                            <w:r>
                              <w:tab/>
                            </w:r>
                            <w:r>
                              <w:tab/>
                            </w:r>
                            <w:r>
                              <w:tab/>
                              <w:t>Closes Monday 12</w:t>
                            </w:r>
                            <w:r w:rsidRPr="009340AF">
                              <w:rPr>
                                <w:vertAlign w:val="superscript"/>
                              </w:rPr>
                              <w:t>th</w:t>
                            </w:r>
                            <w:r>
                              <w:t xml:space="preserve"> October 2020</w:t>
                            </w:r>
                          </w:p>
                          <w:p w:rsidR="0080053C" w:rsidRDefault="0080053C" w:rsidP="00F44BDC">
                            <w:pPr>
                              <w:spacing w:after="0" w:line="240" w:lineRule="auto"/>
                            </w:pPr>
                          </w:p>
                          <w:p w:rsidR="009340AF" w:rsidRDefault="009340AF" w:rsidP="00F44BDC">
                            <w:pPr>
                              <w:spacing w:after="0" w:line="240" w:lineRule="auto"/>
                            </w:pPr>
                            <w:r>
                              <w:t>Due to limited funding the Autumn 2020 funding round will only be open for applications to the Critical Data Award and Continuity Award.</w:t>
                            </w:r>
                          </w:p>
                          <w:p w:rsidR="009340AF" w:rsidRDefault="009340AF"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9" w:history="1">
                              <w:r w:rsidR="001704D2">
                                <w:rPr>
                                  <w:rStyle w:val="Hyperlink"/>
                                </w:rPr>
                                <w:t>https://intranet.birmingham.ac.uk/finance/RSS/research-development/internal-funding.aspx</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5pt;margin-top:2.8pt;width:7in;height:14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" fillcolor="#bef397" strokecolor="#9bbb59 [3206]" strokeweight="2pt">
                <v:fill color2="#eafae0" rotate="t" angle="315" colors="0 #bef397;.5 #d5f6c0;1 #eafae0" focus="100%" type="gradient"/>
                <v:textbox>
                  <w:txbxContent>
                    <w:p w:rsidR="001950DB" w:rsidRDefault="001950DB" w:rsidP="00F44BDC">
                      <w:pPr>
                        <w:spacing w:after="0" w:line="240" w:lineRule="auto"/>
                      </w:pPr>
                      <w:r>
                        <w:t>Applications are reviewed by a panel at a series of panel meeting held during the academ</w:t>
                      </w:r>
                      <w:r w:rsidR="0080053C">
                        <w:t>ic year:</w:t>
                      </w:r>
                    </w:p>
                    <w:p w:rsidR="0080053C" w:rsidRDefault="0080053C" w:rsidP="00F44BDC">
                      <w:pPr>
                        <w:spacing w:after="0" w:line="240" w:lineRule="auto"/>
                      </w:pPr>
                    </w:p>
                    <w:p w:rsidR="0080053C" w:rsidRDefault="0080053C" w:rsidP="009340AF">
                      <w:pPr>
                        <w:spacing w:after="0" w:line="240" w:lineRule="auto"/>
                      </w:pPr>
                      <w:r>
                        <w:t xml:space="preserve">Autumn 2019 Round: </w:t>
                      </w:r>
                      <w:r>
                        <w:tab/>
                        <w:t xml:space="preserve">Opens Monday </w:t>
                      </w:r>
                      <w:r w:rsidR="009340AF">
                        <w:t>14</w:t>
                      </w:r>
                      <w:r w:rsidR="009340AF" w:rsidRPr="009340AF">
                        <w:rPr>
                          <w:vertAlign w:val="superscript"/>
                        </w:rPr>
                        <w:t>th</w:t>
                      </w:r>
                      <w:r w:rsidR="009340AF">
                        <w:t xml:space="preserve"> September 2020</w:t>
                      </w:r>
                    </w:p>
                    <w:p w:rsidR="009340AF" w:rsidRDefault="009340AF" w:rsidP="009340AF">
                      <w:pPr>
                        <w:spacing w:after="0" w:line="240" w:lineRule="auto"/>
                      </w:pPr>
                      <w:r>
                        <w:tab/>
                      </w:r>
                      <w:r>
                        <w:tab/>
                      </w:r>
                      <w:r>
                        <w:tab/>
                        <w:t>Closes Monday 12</w:t>
                      </w:r>
                      <w:r w:rsidRPr="009340AF">
                        <w:rPr>
                          <w:vertAlign w:val="superscript"/>
                        </w:rPr>
                        <w:t>th</w:t>
                      </w:r>
                      <w:r>
                        <w:t xml:space="preserve"> October 2020</w:t>
                      </w:r>
                    </w:p>
                    <w:p w:rsidR="0080053C" w:rsidRDefault="0080053C" w:rsidP="00F44BDC">
                      <w:pPr>
                        <w:spacing w:after="0" w:line="240" w:lineRule="auto"/>
                      </w:pPr>
                    </w:p>
                    <w:p w:rsidR="009340AF" w:rsidRDefault="009340AF" w:rsidP="00F44BDC">
                      <w:pPr>
                        <w:spacing w:after="0" w:line="240" w:lineRule="auto"/>
                      </w:pPr>
                      <w:r>
                        <w:t>Due to limited funding the Autumn 2020 funding round will only be open for applications to the Critical Data Award and Continuity Award.</w:t>
                      </w:r>
                    </w:p>
                    <w:p w:rsidR="009340AF" w:rsidRDefault="009340AF" w:rsidP="00F44BDC">
                      <w:pPr>
                        <w:spacing w:after="0" w:line="240" w:lineRule="auto"/>
                      </w:pPr>
                    </w:p>
                    <w:p w:rsidR="00F44BDC" w:rsidRPr="00F44BDC" w:rsidRDefault="001950DB" w:rsidP="00F44BDC">
                      <w:pPr>
                        <w:spacing w:after="0" w:line="240" w:lineRule="auto"/>
                      </w:pPr>
                      <w:r>
                        <w:t xml:space="preserve">Funding calls with details of the application process will be published on the intranet at </w:t>
                      </w:r>
                      <w:hyperlink r:id="rId10" w:history="1">
                        <w:r w:rsidR="001704D2">
                          <w:rPr>
                            <w:rStyle w:val="Hyperlink"/>
                          </w:rPr>
                          <w:t>https://intranet.birmingham.ac.uk/finance/RSS/research-development/internal-funding.aspx</w:t>
                        </w:r>
                      </w:hyperlink>
                      <w:r>
                        <w:t xml:space="preserve"> </w:t>
                      </w:r>
                    </w:p>
                  </w:txbxContent>
                </v:textbox>
                <w10:wrap anchorx="margin"/>
              </v:rect>
            </w:pict>
          </mc:Fallback>
        </mc:AlternateContent>
      </w:r>
    </w:p>
    <w:p w:rsidR="00F44BDC" w:rsidRDefault="00F44BDC" w:rsidP="00F44BDC"/>
    <w:p w:rsidR="00F44BDC" w:rsidRDefault="00F44BDC" w:rsidP="00D22F7F"/>
    <w:p w:rsidR="00F44BDC" w:rsidRDefault="00F44BDC" w:rsidP="00D22F7F"/>
    <w:p w:rsidR="008E2D17" w:rsidRPr="008E2D17" w:rsidRDefault="008E2D17" w:rsidP="00D22F7F">
      <w:pPr>
        <w:rPr>
          <w:sz w:val="12"/>
          <w:szCs w:val="12"/>
        </w:rPr>
      </w:pPr>
      <w:bookmarkStart w:id="3" w:name="_Toc477960443"/>
    </w:p>
    <w:p w:rsidR="0080053C" w:rsidRDefault="0080053C" w:rsidP="00F21A9F">
      <w:pPr>
        <w:pStyle w:val="Heading2"/>
        <w:spacing w:before="0" w:line="240" w:lineRule="auto"/>
        <w:rPr>
          <w:rFonts w:asciiTheme="minorHAnsi" w:hAnsiTheme="minorHAnsi"/>
          <w:sz w:val="25"/>
          <w:szCs w:val="25"/>
        </w:rPr>
      </w:pPr>
    </w:p>
    <w:p w:rsidR="009340AF" w:rsidRDefault="009340AF" w:rsidP="00F21A9F">
      <w:pPr>
        <w:pStyle w:val="Heading2"/>
        <w:spacing w:before="0" w:line="240" w:lineRule="auto"/>
        <w:rPr>
          <w:rFonts w:asciiTheme="minorHAnsi" w:hAnsiTheme="minorHAnsi"/>
          <w:sz w:val="25"/>
          <w:szCs w:val="25"/>
        </w:rPr>
      </w:pPr>
    </w:p>
    <w:p w:rsidR="00CD71E5" w:rsidRPr="00D32AA2" w:rsidRDefault="00CC065E" w:rsidP="00F21A9F">
      <w:pPr>
        <w:pStyle w:val="Heading2"/>
        <w:spacing w:before="0" w:line="240" w:lineRule="auto"/>
        <w:rPr>
          <w:rFonts w:asciiTheme="minorHAnsi" w:hAnsiTheme="minorHAnsi"/>
          <w:sz w:val="25"/>
          <w:szCs w:val="25"/>
        </w:rPr>
      </w:pPr>
      <w:r w:rsidRPr="00D32AA2">
        <w:rPr>
          <w:rFonts w:asciiTheme="minorHAnsi" w:hAnsiTheme="minorHAnsi"/>
          <w:sz w:val="25"/>
          <w:szCs w:val="25"/>
        </w:rPr>
        <w:t>Accelerator Fellowship</w:t>
      </w:r>
      <w:r w:rsidR="00B7758C" w:rsidRPr="00D32AA2">
        <w:rPr>
          <w:rFonts w:asciiTheme="minorHAnsi" w:hAnsiTheme="minorHAnsi"/>
          <w:sz w:val="25"/>
          <w:szCs w:val="25"/>
        </w:rPr>
        <w:t>:</w:t>
      </w:r>
      <w:bookmarkEnd w:id="3"/>
      <w:r w:rsidR="00B7758C" w:rsidRPr="00D32AA2">
        <w:rPr>
          <w:rFonts w:asciiTheme="minorHAnsi" w:hAnsiTheme="minorHAnsi"/>
          <w:sz w:val="25"/>
          <w:szCs w:val="25"/>
        </w:rPr>
        <w:t xml:space="preserve"> </w:t>
      </w:r>
    </w:p>
    <w:p w:rsidR="00CC065E" w:rsidRDefault="00B7758C" w:rsidP="00F21A9F">
      <w:pPr>
        <w:spacing w:after="0" w:line="240" w:lineRule="auto"/>
        <w:jc w:val="both"/>
      </w:pPr>
      <w:r>
        <w:t>Excellent researchers at either the late PhD or postdoctoral stage of their careers can apply for personal salary support and up to £25,000 per year research pump-priming and mobility funding to establish a competitive position for external Fellowship application</w:t>
      </w:r>
      <w:r w:rsidR="00F21A9F">
        <w:t>s</w:t>
      </w:r>
      <w:r>
        <w:t>. This could include a discipline-hopping co</w:t>
      </w:r>
      <w:r w:rsidR="00BF5647">
        <w:t xml:space="preserve">mponent, an </w:t>
      </w:r>
      <w:r>
        <w:t>element</w:t>
      </w:r>
      <w:r w:rsidR="00BF5647">
        <w:t xml:space="preserve"> which</w:t>
      </w:r>
      <w:r>
        <w:t xml:space="preserve"> is particularly encouraged for current PhD students to </w:t>
      </w:r>
      <w:r w:rsidR="00D00707">
        <w:t xml:space="preserve">gain new skillsets, e.g. through accessing </w:t>
      </w:r>
      <w:r>
        <w:t xml:space="preserve">other existing Doctoral Training Programmes. </w:t>
      </w:r>
      <w:r w:rsidR="00F21A9F">
        <w:t>The m</w:t>
      </w:r>
      <w:r>
        <w:t xml:space="preserve">aximum duration </w:t>
      </w:r>
      <w:r w:rsidR="00F21A9F">
        <w:t xml:space="preserve">for Accelerator Fellowships </w:t>
      </w:r>
      <w:r>
        <w:t xml:space="preserve">is 24 months, but most </w:t>
      </w:r>
      <w:r w:rsidR="00D00707">
        <w:t>awards</w:t>
      </w:r>
      <w:r>
        <w:t xml:space="preserve"> </w:t>
      </w:r>
      <w:r w:rsidR="00D00707">
        <w:t>will</w:t>
      </w:r>
      <w:r>
        <w:t xml:space="preserve"> be of significantly shorter duration (particularly for PhD students). Applicants will be expected to undergo a more rigorous assessment process, </w:t>
      </w:r>
      <w:r w:rsidRPr="00D00707">
        <w:rPr>
          <w:u w:val="single"/>
        </w:rPr>
        <w:t>including formal interview</w:t>
      </w:r>
      <w:r>
        <w:t>.</w:t>
      </w:r>
    </w:p>
    <w:p w:rsidR="00F21A9F" w:rsidRPr="00D22F7F" w:rsidRDefault="00F21A9F" w:rsidP="00F21A9F">
      <w:pPr>
        <w:pStyle w:val="Heading2"/>
        <w:spacing w:before="0" w:line="240" w:lineRule="auto"/>
        <w:rPr>
          <w:rFonts w:asciiTheme="minorHAnsi" w:hAnsiTheme="minorHAnsi"/>
          <w:sz w:val="20"/>
          <w:szCs w:val="20"/>
        </w:rPr>
      </w:pPr>
    </w:p>
    <w:p w:rsidR="00CD71E5" w:rsidRPr="00D32AA2" w:rsidRDefault="00B7758C" w:rsidP="00F21A9F">
      <w:pPr>
        <w:pStyle w:val="Heading2"/>
        <w:spacing w:before="0" w:line="240" w:lineRule="auto"/>
        <w:rPr>
          <w:rFonts w:asciiTheme="minorHAnsi" w:hAnsiTheme="minorHAnsi"/>
          <w:sz w:val="25"/>
          <w:szCs w:val="25"/>
        </w:rPr>
      </w:pPr>
      <w:bookmarkStart w:id="4" w:name="_Toc477960444"/>
      <w:r w:rsidRPr="00D32AA2">
        <w:rPr>
          <w:rFonts w:asciiTheme="minorHAnsi" w:hAnsiTheme="minorHAnsi"/>
          <w:sz w:val="25"/>
          <w:szCs w:val="25"/>
        </w:rPr>
        <w:t>Critical Data Awards:</w:t>
      </w:r>
      <w:bookmarkEnd w:id="4"/>
      <w:r w:rsidRPr="00D32AA2">
        <w:rPr>
          <w:rFonts w:asciiTheme="minorHAnsi" w:hAnsiTheme="minorHAnsi"/>
          <w:sz w:val="25"/>
          <w:szCs w:val="25"/>
        </w:rPr>
        <w:t xml:space="preserve"> </w:t>
      </w:r>
    </w:p>
    <w:p w:rsidR="00B7758C" w:rsidRDefault="00B7758C" w:rsidP="00F21A9F">
      <w:pPr>
        <w:spacing w:after="0" w:line="240" w:lineRule="auto"/>
        <w:jc w:val="both"/>
      </w:pPr>
      <w:r>
        <w:t>Excellent researchers across any of our highlighted career stages can apply for funding awards of up to £15,000</w:t>
      </w:r>
      <w:r w:rsidR="00CA2497">
        <w:t xml:space="preserve"> (early-career) or £25,000 (mid-career)</w:t>
      </w:r>
      <w:r>
        <w:t xml:space="preserve"> to deliver key experiments or other research work which either provides compelling pilot data for a specified external application, or supplements existing data to enable publication in a high-impact journal. </w:t>
      </w:r>
      <w:r w:rsidR="00CA2497">
        <w:t>Applications are expected to clearly demonstrate why the specific data is required as an enabler – for publications, this should include review comments from the journal, and for pilot data underpinning external funding applications</w:t>
      </w:r>
      <w:r w:rsidR="00D00707">
        <w:t xml:space="preserve"> this will be strengthened by</w:t>
      </w:r>
      <w:r w:rsidR="00CA2497">
        <w:t xml:space="preserve"> feedback from internal </w:t>
      </w:r>
      <w:r w:rsidR="00D00707">
        <w:t xml:space="preserve">(outside the applicant’s own group) </w:t>
      </w:r>
      <w:r w:rsidR="00CA2497">
        <w:t>or external grant review.</w:t>
      </w:r>
    </w:p>
    <w:p w:rsidR="00F21A9F" w:rsidRPr="00D22F7F" w:rsidRDefault="00F21A9F" w:rsidP="00F21A9F">
      <w:pPr>
        <w:pStyle w:val="Heading2"/>
        <w:spacing w:before="0" w:line="240" w:lineRule="auto"/>
        <w:rPr>
          <w:rFonts w:asciiTheme="minorHAnsi" w:hAnsiTheme="minorHAnsi"/>
          <w:sz w:val="20"/>
          <w:szCs w:val="20"/>
        </w:rPr>
      </w:pPr>
    </w:p>
    <w:p w:rsidR="00CD71E5" w:rsidRPr="00D32AA2" w:rsidRDefault="00304F84" w:rsidP="00F21A9F">
      <w:pPr>
        <w:pStyle w:val="Heading2"/>
        <w:spacing w:before="0" w:line="240" w:lineRule="auto"/>
        <w:rPr>
          <w:rFonts w:asciiTheme="minorHAnsi" w:hAnsiTheme="minorHAnsi"/>
          <w:sz w:val="25"/>
          <w:szCs w:val="25"/>
        </w:rPr>
      </w:pPr>
      <w:bookmarkStart w:id="5" w:name="_Toc477960445"/>
      <w:r w:rsidRPr="00D32AA2">
        <w:rPr>
          <w:rFonts w:asciiTheme="minorHAnsi" w:hAnsiTheme="minorHAnsi"/>
          <w:sz w:val="25"/>
          <w:szCs w:val="25"/>
        </w:rPr>
        <w:t>Glob</w:t>
      </w:r>
      <w:r w:rsidR="00CA2497" w:rsidRPr="00D32AA2">
        <w:rPr>
          <w:rFonts w:asciiTheme="minorHAnsi" w:hAnsiTheme="minorHAnsi"/>
          <w:sz w:val="25"/>
          <w:szCs w:val="25"/>
        </w:rPr>
        <w:t>al Mobility:</w:t>
      </w:r>
      <w:bookmarkEnd w:id="5"/>
      <w:r w:rsidR="00CA2497" w:rsidRPr="00D32AA2">
        <w:rPr>
          <w:rFonts w:asciiTheme="minorHAnsi" w:hAnsiTheme="minorHAnsi"/>
          <w:sz w:val="25"/>
          <w:szCs w:val="25"/>
        </w:rPr>
        <w:t xml:space="preserve"> </w:t>
      </w:r>
    </w:p>
    <w:p w:rsidR="00CC065E" w:rsidRDefault="00CA2497" w:rsidP="00F21A9F">
      <w:pPr>
        <w:spacing w:after="0" w:line="240" w:lineRule="auto"/>
        <w:jc w:val="both"/>
      </w:pPr>
      <w:r>
        <w:t xml:space="preserve">Collaboration and experience outside the UK is essential to deliver world-leading research, and funders are placing increased emphasis on global partnerships which directly address issues specific to regions such as Low &amp; Middle Income Countries (LMICs). Excellent researchers at any of our highlighted career stages are therefore encouraged to apply for Mobility awards (covering travel, accommodation, subsistence and if well-justified a level of research </w:t>
      </w:r>
      <w:r>
        <w:lastRenderedPageBreak/>
        <w:t>consumables) of up to £10,000. These may establish new partnerships, define critical research questions or learn new skills and techniques which can be brought back to Birmingham. Evidence of support from the partner site is required.</w:t>
      </w:r>
    </w:p>
    <w:p w:rsidR="00E3646E" w:rsidRPr="00D22F7F" w:rsidRDefault="00E3646E" w:rsidP="00F21A9F">
      <w:pPr>
        <w:pStyle w:val="Heading2"/>
        <w:spacing w:before="0" w:line="240" w:lineRule="auto"/>
        <w:rPr>
          <w:rFonts w:asciiTheme="minorHAnsi" w:hAnsiTheme="minorHAnsi"/>
          <w:sz w:val="20"/>
          <w:szCs w:val="20"/>
        </w:rPr>
      </w:pPr>
      <w:bookmarkStart w:id="6" w:name="_Toc477960446"/>
    </w:p>
    <w:p w:rsidR="00CD71E5" w:rsidRPr="00D32AA2" w:rsidRDefault="00D00707" w:rsidP="00F21A9F">
      <w:pPr>
        <w:pStyle w:val="Heading2"/>
        <w:spacing w:before="0" w:line="240" w:lineRule="auto"/>
        <w:rPr>
          <w:rFonts w:asciiTheme="minorHAnsi" w:hAnsiTheme="minorHAnsi"/>
          <w:sz w:val="25"/>
          <w:szCs w:val="25"/>
        </w:rPr>
      </w:pPr>
      <w:r w:rsidRPr="00D32AA2">
        <w:rPr>
          <w:rFonts w:asciiTheme="minorHAnsi" w:hAnsiTheme="minorHAnsi"/>
          <w:sz w:val="25"/>
          <w:szCs w:val="25"/>
        </w:rPr>
        <w:t xml:space="preserve">Continuity </w:t>
      </w:r>
      <w:r w:rsidR="00AA4A1E" w:rsidRPr="00D32AA2">
        <w:rPr>
          <w:rFonts w:asciiTheme="minorHAnsi" w:hAnsiTheme="minorHAnsi"/>
          <w:sz w:val="25"/>
          <w:szCs w:val="25"/>
        </w:rPr>
        <w:t>Award</w:t>
      </w:r>
      <w:r w:rsidR="007B29D9" w:rsidRPr="00D32AA2">
        <w:rPr>
          <w:rFonts w:asciiTheme="minorHAnsi" w:hAnsiTheme="minorHAnsi"/>
          <w:sz w:val="25"/>
          <w:szCs w:val="25"/>
        </w:rPr>
        <w:t>:</w:t>
      </w:r>
      <w:bookmarkEnd w:id="6"/>
      <w:r w:rsidR="007B29D9" w:rsidRPr="00D32AA2">
        <w:rPr>
          <w:rFonts w:asciiTheme="minorHAnsi" w:hAnsiTheme="minorHAnsi"/>
          <w:sz w:val="25"/>
          <w:szCs w:val="25"/>
        </w:rPr>
        <w:t xml:space="preserve"> </w:t>
      </w:r>
    </w:p>
    <w:p w:rsidR="00CA2497" w:rsidRDefault="007B29D9" w:rsidP="00D00707">
      <w:pPr>
        <w:spacing w:after="0" w:line="240" w:lineRule="auto"/>
        <w:jc w:val="both"/>
      </w:pPr>
      <w:r>
        <w:t>Excellent researchers may face a multitude of challenges, within and without the University environment. We wish to offer support for return to work for ECRs/MCRs after responsibilities such as maternity/paternity leave, but also caring for sick family members or other difficult personal circumstances. Funding can provide technician support posts and consumable funding where needed to help vulnerable researchers rapidly re-establish themselves and be in a position to apply for external funding. Award levels are flexible dependent on applicant need, and we would welcome direct discussions prior to application to establish the most appropriate type(s) of support to apply for.</w:t>
      </w:r>
    </w:p>
    <w:p w:rsidR="00D45578" w:rsidRDefault="00D45578" w:rsidP="00D00707">
      <w:pPr>
        <w:spacing w:after="0" w:line="240" w:lineRule="auto"/>
        <w:jc w:val="both"/>
      </w:pPr>
      <w:r>
        <w:rPr>
          <w:noProof/>
          <w:lang w:eastAsia="en-GB"/>
        </w:rPr>
        <mc:AlternateContent>
          <mc:Choice Requires="wps">
            <w:drawing>
              <wp:anchor distT="0" distB="0" distL="114300" distR="114300" simplePos="0" relativeHeight="251660288" behindDoc="0" locked="0" layoutInCell="1" allowOverlap="1" wp14:anchorId="17D6A482" wp14:editId="2071D42A">
                <wp:simplePos x="0" y="0"/>
                <wp:positionH relativeFrom="column">
                  <wp:posOffset>-52705</wp:posOffset>
                </wp:positionH>
                <wp:positionV relativeFrom="paragraph">
                  <wp:posOffset>118745</wp:posOffset>
                </wp:positionV>
                <wp:extent cx="6385560" cy="9906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6385560" cy="990600"/>
                        </a:xfrm>
                        <a:prstGeom prst="rect">
                          <a:avLst/>
                        </a:prstGeom>
                        <a:gradFill flip="none" rotWithShape="1">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8100000" scaled="1"/>
                          <a:tileRect/>
                        </a:gradFill>
                      </wps:spPr>
                      <wps:style>
                        <a:lnRef idx="2">
                          <a:schemeClr val="accent6"/>
                        </a:lnRef>
                        <a:fillRef idx="1">
                          <a:schemeClr val="lt1"/>
                        </a:fillRef>
                        <a:effectRef idx="0">
                          <a:schemeClr val="accent6"/>
                        </a:effectRef>
                        <a:fontRef idx="minor">
                          <a:schemeClr val="dk1"/>
                        </a:fontRef>
                      </wps:style>
                      <wps:txbx>
                        <w:txbxContent>
                          <w:p w:rsidR="00D45578" w:rsidRPr="00D45578" w:rsidRDefault="00D45578" w:rsidP="00D45578">
                            <w:pPr>
                              <w:spacing w:after="0" w:line="240" w:lineRule="auto"/>
                              <w:rPr>
                                <w:b/>
                                <w:sz w:val="24"/>
                                <w:szCs w:val="24"/>
                                <w:u w:val="single"/>
                              </w:rPr>
                            </w:pPr>
                            <w:r w:rsidRPr="00D45578">
                              <w:rPr>
                                <w:b/>
                                <w:sz w:val="24"/>
                                <w:szCs w:val="24"/>
                                <w:u w:val="single"/>
                              </w:rPr>
                              <w:t>Expectations of award holders:</w:t>
                            </w:r>
                          </w:p>
                          <w:p w:rsidR="00D45578" w:rsidRDefault="00D45578" w:rsidP="00D45578">
                            <w:pPr>
                              <w:spacing w:after="0" w:line="240" w:lineRule="auto"/>
                            </w:pPr>
                            <w:r>
                              <w:t>All award types are critically dependent on evidence of a strong career trajectory; a clear mentoring and support plan from your host environment (School/Institute); and clarity on expected next steps in terms of external funding application(s). Award holders will be required to provide regular reports, and play a key role in annual events which will directly involve the Wellcome Trust as our major partner funders.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6A482" id="Rectangle 7" o:spid="_x0000_s1027" style="position:absolute;left:0;text-align:left;margin-left:-4.15pt;margin-top:9.35pt;width:502.8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" fillcolor="#e36c0a [2409]" strokecolor="#f79646 [3209]" strokeweight="2pt">
                <v:fill color2="#e36c0a [2409]" rotate="t" angle="315" colors="0 #ffa586;.5 #ffc7b7;1 #ffe3dc" focus="100%" type="gradient"/>
                <v:textbox>
                  <w:txbxContent>
                    <w:p w:rsidR="00D45578" w:rsidRPr="00D45578" w:rsidRDefault="00D45578" w:rsidP="00D45578">
                      <w:pPr>
                        <w:spacing w:after="0" w:line="240" w:lineRule="auto"/>
                        <w:rPr>
                          <w:b/>
                          <w:sz w:val="24"/>
                          <w:szCs w:val="24"/>
                          <w:u w:val="single"/>
                        </w:rPr>
                      </w:pPr>
                      <w:r w:rsidRPr="00D45578">
                        <w:rPr>
                          <w:b/>
                          <w:sz w:val="24"/>
                          <w:szCs w:val="24"/>
                          <w:u w:val="single"/>
                        </w:rPr>
                        <w:t>Expectations of award holders:</w:t>
                      </w:r>
                    </w:p>
                    <w:p w:rsidR="00D45578" w:rsidRDefault="00D45578" w:rsidP="00D45578">
                      <w:pPr>
                        <w:spacing w:after="0" w:line="240" w:lineRule="auto"/>
                      </w:pPr>
                      <w:r>
                        <w:t>All award types are critically dependent on evidence of a strong career trajectory; a clear mentoring and support plan from your host environment (School/Institute); and clarity on expected next steps in terms of external funding application(s). Award holders will be required to provide regular reports, and play a key role in annual events which will directly involve the Wellcome Trust as our major partner funders.</w:t>
                      </w:r>
                    </w:p>
                  </w:txbxContent>
                </v:textbox>
              </v:rect>
            </w:pict>
          </mc:Fallback>
        </mc:AlternateContent>
      </w:r>
    </w:p>
    <w:p w:rsidR="00D45578" w:rsidRDefault="00D45578" w:rsidP="00D00707">
      <w:pPr>
        <w:spacing w:after="0" w:line="240" w:lineRule="auto"/>
        <w:jc w:val="both"/>
      </w:pPr>
    </w:p>
    <w:p w:rsidR="00D45578" w:rsidRDefault="00D45578" w:rsidP="00D00707">
      <w:pPr>
        <w:spacing w:after="0" w:line="240" w:lineRule="auto"/>
        <w:jc w:val="both"/>
      </w:pPr>
    </w:p>
    <w:p w:rsidR="00F21A9F" w:rsidRPr="00466524" w:rsidRDefault="00F21A9F" w:rsidP="00D00707">
      <w:pPr>
        <w:spacing w:after="0" w:line="240" w:lineRule="auto"/>
        <w:jc w:val="both"/>
      </w:pPr>
    </w:p>
    <w:p w:rsidR="00466524" w:rsidRDefault="00466524" w:rsidP="00466524">
      <w:pPr>
        <w:spacing w:after="0" w:line="240" w:lineRule="auto"/>
      </w:pPr>
    </w:p>
    <w:p w:rsidR="00D45578" w:rsidRDefault="00D45578" w:rsidP="00466524">
      <w:pPr>
        <w:spacing w:after="0" w:line="240" w:lineRule="auto"/>
      </w:pPr>
    </w:p>
    <w:p w:rsidR="00D45578" w:rsidRPr="00466524" w:rsidRDefault="00D45578" w:rsidP="00466524">
      <w:pPr>
        <w:spacing w:after="0" w:line="240" w:lineRule="auto"/>
      </w:pPr>
    </w:p>
    <w:p w:rsidR="00291F82" w:rsidRPr="00D32AA2" w:rsidRDefault="00291F82" w:rsidP="00291F82">
      <w:pPr>
        <w:pStyle w:val="Heading2"/>
        <w:spacing w:before="0" w:line="240" w:lineRule="auto"/>
        <w:rPr>
          <w:rFonts w:asciiTheme="minorHAnsi" w:hAnsiTheme="minorHAnsi"/>
          <w:sz w:val="25"/>
          <w:szCs w:val="25"/>
        </w:rPr>
      </w:pPr>
      <w:r w:rsidRPr="00D32AA2">
        <w:rPr>
          <w:rFonts w:asciiTheme="minorHAnsi" w:hAnsiTheme="minorHAnsi"/>
          <w:sz w:val="25"/>
          <w:szCs w:val="25"/>
        </w:rPr>
        <w:t>Application Process</w:t>
      </w:r>
    </w:p>
    <w:p w:rsidR="00775FF3" w:rsidRDefault="00291F82" w:rsidP="00916157">
      <w:pPr>
        <w:spacing w:after="0" w:line="240" w:lineRule="auto"/>
      </w:pPr>
      <w:r>
        <w:t xml:space="preserve">All applications must be </w:t>
      </w:r>
      <w:r w:rsidR="00775FF3">
        <w:t>submitted</w:t>
      </w:r>
      <w:r>
        <w:t xml:space="preserve"> via the </w:t>
      </w:r>
      <w:r w:rsidR="00EC5F9F">
        <w:t>online a</w:t>
      </w:r>
      <w:r w:rsidR="0080053C">
        <w:t>pplication</w:t>
      </w:r>
      <w:r w:rsidR="003E0D7B">
        <w:t xml:space="preserve"> form available on the intranet:</w:t>
      </w:r>
    </w:p>
    <w:p w:rsidR="003E0D7B" w:rsidRDefault="00993D45" w:rsidP="00916157">
      <w:pPr>
        <w:spacing w:after="0" w:line="240" w:lineRule="auto"/>
      </w:pPr>
      <w:hyperlink r:id="rId11" w:history="1">
        <w:r w:rsidR="003E0D7B" w:rsidRPr="00E808FC">
          <w:rPr>
            <w:rStyle w:val="Hyperlink"/>
          </w:rPr>
          <w:t>https://intranet.birmingham.ac.uk/finance/ris/research-funding/Internal-Funding.aspx</w:t>
        </w:r>
      </w:hyperlink>
      <w:r w:rsidR="003E0D7B">
        <w:t xml:space="preserve"> </w:t>
      </w:r>
    </w:p>
    <w:p w:rsidR="00D45578" w:rsidRDefault="00D45578" w:rsidP="00916157">
      <w:pPr>
        <w:spacing w:after="0" w:line="240" w:lineRule="auto"/>
        <w:rPr>
          <w:rStyle w:val="Hyperlink"/>
          <w:b/>
        </w:rPr>
      </w:pPr>
      <w:r>
        <w:rPr>
          <w:b/>
          <w:noProof/>
          <w:color w:val="0000FF" w:themeColor="hyperlink"/>
          <w:u w:val="single"/>
          <w:lang w:eastAsia="en-GB"/>
        </w:rPr>
        <mc:AlternateContent>
          <mc:Choice Requires="wps">
            <w:drawing>
              <wp:anchor distT="0" distB="0" distL="114300" distR="114300" simplePos="0" relativeHeight="251661312" behindDoc="0" locked="0" layoutInCell="1" allowOverlap="1" wp14:anchorId="0B686009" wp14:editId="3E38E268">
                <wp:simplePos x="0" y="0"/>
                <wp:positionH relativeFrom="margin">
                  <wp:align>left</wp:align>
                </wp:positionH>
                <wp:positionV relativeFrom="paragraph">
                  <wp:posOffset>107950</wp:posOffset>
                </wp:positionV>
                <wp:extent cx="6328410" cy="12192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6328410" cy="12192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8100000" scaled="1"/>
                          <a:tileRect/>
                        </a:gradFill>
                      </wps:spPr>
                      <wps:style>
                        <a:lnRef idx="2">
                          <a:schemeClr val="accent2"/>
                        </a:lnRef>
                        <a:fillRef idx="1">
                          <a:schemeClr val="lt1"/>
                        </a:fillRef>
                        <a:effectRef idx="0">
                          <a:schemeClr val="accent2"/>
                        </a:effectRef>
                        <a:fontRef idx="minor">
                          <a:schemeClr val="dk1"/>
                        </a:fontRef>
                      </wps:style>
                      <wps:txb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D45578" w:rsidRDefault="00D45578" w:rsidP="00D45578">
                            <w:pPr>
                              <w:spacing w:after="0" w:line="240" w:lineRule="auto"/>
                            </w:pPr>
                            <w:r w:rsidRPr="00D45578">
                              <w:t xml:space="preserve">1. </w:t>
                            </w:r>
                            <w:r w:rsidRPr="00D45578">
                              <w:rPr>
                                <w:b/>
                              </w:rPr>
                              <w:t>CV</w:t>
                            </w:r>
                            <w:r w:rsidRPr="00D45578">
                              <w:t>: A CV of no more than 2-pages (including employment history and   markers of esteem)</w:t>
                            </w:r>
                          </w:p>
                          <w:p w:rsidR="00D45578" w:rsidRPr="00D45578" w:rsidRDefault="00D45578" w:rsidP="00D45578">
                            <w:pPr>
                              <w:spacing w:after="0" w:line="240" w:lineRule="auto"/>
                            </w:pPr>
                            <w:r w:rsidRPr="00D45578">
                              <w:t xml:space="preserve">2. </w:t>
                            </w:r>
                            <w:r w:rsidRPr="00D45578">
                              <w:rPr>
                                <w:b/>
                              </w:rPr>
                              <w:t>Key Publication</w:t>
                            </w:r>
                            <w:r w:rsidRPr="00D45578">
                              <w:t>: Up to 1-page listing key publications</w:t>
                            </w:r>
                          </w:p>
                          <w:p w:rsidR="00D45578" w:rsidRPr="00D45578" w:rsidRDefault="00D45578" w:rsidP="00D45578">
                            <w:pPr>
                              <w:spacing w:after="0" w:line="240" w:lineRule="auto"/>
                            </w:pPr>
                            <w:r w:rsidRPr="00D45578">
                              <w:t xml:space="preserve">3. </w:t>
                            </w:r>
                            <w:r w:rsidRPr="00D45578">
                              <w:rPr>
                                <w:b/>
                              </w:rPr>
                              <w:t>Preliminary Data (if applicable):</w:t>
                            </w:r>
                            <w:r w:rsidRPr="00D45578">
                              <w:t xml:space="preserve"> Data which justifies why your project should be supported</w:t>
                            </w:r>
                          </w:p>
                          <w:p w:rsidR="00D45578" w:rsidRPr="00D45578" w:rsidRDefault="00D45578" w:rsidP="00D45578">
                            <w:pPr>
                              <w:spacing w:after="0" w:line="240" w:lineRule="auto"/>
                            </w:pPr>
                            <w:r w:rsidRPr="00D45578">
                              <w:t xml:space="preserve">4. </w:t>
                            </w:r>
                            <w:r w:rsidRPr="00D45578">
                              <w:rPr>
                                <w:b/>
                              </w:rPr>
                              <w:t>Gantt Chart:</w:t>
                            </w:r>
                            <w:r w:rsidRPr="00D45578">
                              <w:t xml:space="preserve"> A gantt chart which provides clarity regarding design and expected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6009" id="Rectangle 8" o:spid="_x0000_s1028" style="position:absolute;margin-left:0;margin-top:8.5pt;width:498.3pt;height:9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" fillcolor="#ff8080" strokecolor="#c0504d [3205]" strokeweight="2pt">
                <v:fill color2="#ffdada" rotate="t" angle="315" colors="0 #ff8080;.5 #ffb3b3;1 #ffdada" focus="100%" type="gradient"/>
                <v:textbox>
                  <w:txbxContent>
                    <w:p w:rsidR="00D45578" w:rsidRPr="00D45578" w:rsidRDefault="0080053C" w:rsidP="00E3646E">
                      <w:pPr>
                        <w:spacing w:after="0" w:line="240" w:lineRule="auto"/>
                      </w:pPr>
                      <w:r>
                        <w:t>T</w:t>
                      </w:r>
                      <w:r w:rsidR="00D45578" w:rsidRPr="00D45578">
                        <w:t xml:space="preserve">he following attachments must be </w:t>
                      </w:r>
                      <w:r>
                        <w:t>uploaded</w:t>
                      </w:r>
                      <w:r w:rsidR="00D45578" w:rsidRPr="00D45578">
                        <w:t xml:space="preserve"> </w:t>
                      </w:r>
                      <w:r>
                        <w:t>at the end of your application form</w:t>
                      </w:r>
                    </w:p>
                    <w:p w:rsidR="00D45578" w:rsidRPr="00D45578" w:rsidRDefault="00D45578" w:rsidP="00D45578">
                      <w:pPr>
                        <w:spacing w:after="0" w:line="240" w:lineRule="auto"/>
                        <w:rPr>
                          <w:sz w:val="10"/>
                          <w:szCs w:val="10"/>
                        </w:rPr>
                      </w:pPr>
                    </w:p>
                    <w:p w:rsidR="00D45578" w:rsidRPr="00D45578" w:rsidRDefault="00D45578" w:rsidP="00D45578">
                      <w:pPr>
                        <w:spacing w:after="0" w:line="240" w:lineRule="auto"/>
                      </w:pPr>
                      <w:r w:rsidRPr="00D45578">
                        <w:t xml:space="preserve">1. </w:t>
                      </w:r>
                      <w:r w:rsidRPr="00D45578">
                        <w:rPr>
                          <w:b/>
                        </w:rPr>
                        <w:t>CV</w:t>
                      </w:r>
                      <w:r w:rsidRPr="00D45578">
                        <w:t>: A CV of no more than 2-pages (including employment history and   markers of esteem)</w:t>
                      </w:r>
                    </w:p>
                    <w:p w:rsidR="00D45578" w:rsidRPr="00D45578" w:rsidRDefault="00D45578" w:rsidP="00D45578">
                      <w:pPr>
                        <w:spacing w:after="0" w:line="240" w:lineRule="auto"/>
                      </w:pPr>
                      <w:r w:rsidRPr="00D45578">
                        <w:t xml:space="preserve">2. </w:t>
                      </w:r>
                      <w:r w:rsidRPr="00D45578">
                        <w:rPr>
                          <w:b/>
                        </w:rPr>
                        <w:t>Key Publication</w:t>
                      </w:r>
                      <w:r w:rsidRPr="00D45578">
                        <w:t>: Up to 1-page listing key publications</w:t>
                      </w:r>
                    </w:p>
                    <w:p w:rsidR="00D45578" w:rsidRPr="00D45578" w:rsidRDefault="00D45578" w:rsidP="00D45578">
                      <w:pPr>
                        <w:spacing w:after="0" w:line="240" w:lineRule="auto"/>
                      </w:pPr>
                      <w:r w:rsidRPr="00D45578">
                        <w:t xml:space="preserve">3. </w:t>
                      </w:r>
                      <w:r w:rsidRPr="00D45578">
                        <w:rPr>
                          <w:b/>
                        </w:rPr>
                        <w:t>Preliminary Data (if applicable):</w:t>
                      </w:r>
                      <w:r w:rsidRPr="00D45578">
                        <w:t xml:space="preserve"> Data which justifies why your project should be supported</w:t>
                      </w:r>
                    </w:p>
                    <w:p w:rsidR="00D45578" w:rsidRPr="00D45578" w:rsidRDefault="00D45578" w:rsidP="00D45578">
                      <w:pPr>
                        <w:spacing w:after="0" w:line="240" w:lineRule="auto"/>
                      </w:pPr>
                      <w:r w:rsidRPr="00D45578">
                        <w:t xml:space="preserve">4. </w:t>
                      </w:r>
                      <w:r w:rsidRPr="00D45578">
                        <w:rPr>
                          <w:b/>
                        </w:rPr>
                        <w:t>Gantt Chart:</w:t>
                      </w:r>
                      <w:r w:rsidRPr="00D45578">
                        <w:t xml:space="preserve"> A gantt chart which provides clarity regarding design and expected outcomes</w:t>
                      </w:r>
                    </w:p>
                  </w:txbxContent>
                </v:textbox>
                <w10:wrap anchorx="margin"/>
              </v:rect>
            </w:pict>
          </mc:Fallback>
        </mc:AlternateContent>
      </w: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D45578" w:rsidRDefault="00D45578" w:rsidP="00916157">
      <w:pPr>
        <w:spacing w:after="0" w:line="240" w:lineRule="auto"/>
        <w:rPr>
          <w:rStyle w:val="Hyperlink"/>
          <w:b/>
        </w:rPr>
      </w:pPr>
    </w:p>
    <w:p w:rsidR="00EC5F9F" w:rsidRDefault="00EC5F9F" w:rsidP="00D00707">
      <w:pPr>
        <w:spacing w:after="0" w:line="240" w:lineRule="auto"/>
        <w:jc w:val="both"/>
      </w:pPr>
      <w:r>
        <w:t xml:space="preserve">To assist in the completion of your application please see below </w:t>
      </w:r>
      <w:r w:rsidR="00775FF3">
        <w:t xml:space="preserve">for </w:t>
      </w:r>
      <w:r>
        <w:t>a list of the questions included within the application form:</w:t>
      </w:r>
    </w:p>
    <w:p w:rsidR="00EC5F9F" w:rsidRPr="00DB2EB2" w:rsidRDefault="00EC5F9F" w:rsidP="00D00707">
      <w:pPr>
        <w:spacing w:after="0" w:line="240" w:lineRule="auto"/>
        <w:jc w:val="both"/>
        <w:rPr>
          <w:sz w:val="10"/>
          <w:szCs w:val="10"/>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1432"/>
        <w:gridCol w:w="8621"/>
      </w:tblGrid>
      <w:tr w:rsidR="00EC5F9F" w:rsidRPr="00AB5581" w:rsidTr="00DB2EB2">
        <w:tc>
          <w:tcPr>
            <w:tcW w:w="1457" w:type="dxa"/>
          </w:tcPr>
          <w:p w:rsidR="00EC5F9F" w:rsidRPr="00D32AA2" w:rsidRDefault="00EC5F9F" w:rsidP="00DB2EB2">
            <w:pPr>
              <w:jc w:val="center"/>
              <w:rPr>
                <w:b/>
                <w:sz w:val="23"/>
                <w:szCs w:val="23"/>
              </w:rPr>
            </w:pPr>
            <w:r w:rsidRPr="00D32AA2">
              <w:rPr>
                <w:b/>
                <w:sz w:val="23"/>
                <w:szCs w:val="23"/>
              </w:rPr>
              <w:t>Heading</w:t>
            </w:r>
          </w:p>
        </w:tc>
        <w:tc>
          <w:tcPr>
            <w:tcW w:w="9197" w:type="dxa"/>
          </w:tcPr>
          <w:p w:rsidR="00EC5F9F" w:rsidRPr="00D32AA2" w:rsidRDefault="00EC5F9F" w:rsidP="00DB2EB2">
            <w:pPr>
              <w:jc w:val="both"/>
              <w:rPr>
                <w:b/>
                <w:sz w:val="23"/>
                <w:szCs w:val="23"/>
              </w:rPr>
            </w:pPr>
            <w:r w:rsidRPr="00D32AA2">
              <w:rPr>
                <w:b/>
                <w:sz w:val="23"/>
                <w:szCs w:val="23"/>
              </w:rPr>
              <w:t>Question</w:t>
            </w:r>
          </w:p>
        </w:tc>
      </w:tr>
      <w:tr w:rsidR="00EC5F9F" w:rsidTr="00DB2EB2">
        <w:tc>
          <w:tcPr>
            <w:tcW w:w="1457" w:type="dxa"/>
            <w:vAlign w:val="center"/>
          </w:tcPr>
          <w:p w:rsidR="00EC5F9F" w:rsidRDefault="00EC5F9F" w:rsidP="00DB2EB2">
            <w:pPr>
              <w:jc w:val="center"/>
              <w:rPr>
                <w:b/>
              </w:rPr>
            </w:pPr>
            <w:r>
              <w:rPr>
                <w:b/>
              </w:rPr>
              <w:t>Funding Pitch</w:t>
            </w:r>
          </w:p>
        </w:tc>
        <w:tc>
          <w:tcPr>
            <w:tcW w:w="9197" w:type="dxa"/>
          </w:tcPr>
          <w:p w:rsidR="00AB5581" w:rsidRDefault="00EC5F9F" w:rsidP="00DB2EB2">
            <w:pPr>
              <w:rPr>
                <w:i/>
              </w:rPr>
            </w:pPr>
            <w:r w:rsidRPr="00EC5F9F">
              <w:rPr>
                <w:i/>
              </w:rPr>
              <w:t xml:space="preserve">Please briefly outline your request for funding, including the specific immediate need for the investment and how it will make a critical impact to your career. </w:t>
            </w:r>
          </w:p>
          <w:p w:rsidR="00EC5F9F" w:rsidRDefault="00AB5581" w:rsidP="00DB2EB2">
            <w:pPr>
              <w:rPr>
                <w:b/>
              </w:rPr>
            </w:pPr>
            <w:r>
              <w:rPr>
                <w:i/>
              </w:rPr>
              <w:t xml:space="preserve">[Max. 2000 characters] </w:t>
            </w:r>
          </w:p>
        </w:tc>
      </w:tr>
      <w:tr w:rsidR="00EC5F9F" w:rsidTr="00DB2EB2">
        <w:tc>
          <w:tcPr>
            <w:tcW w:w="1457" w:type="dxa"/>
            <w:vAlign w:val="center"/>
          </w:tcPr>
          <w:p w:rsidR="00EC5F9F" w:rsidRDefault="00EC5F9F" w:rsidP="00DB2EB2">
            <w:pPr>
              <w:jc w:val="center"/>
              <w:rPr>
                <w:b/>
              </w:rPr>
            </w:pPr>
            <w:r>
              <w:rPr>
                <w:b/>
              </w:rPr>
              <w:t>Personal Trajectory</w:t>
            </w:r>
          </w:p>
        </w:tc>
        <w:tc>
          <w:tcPr>
            <w:tcW w:w="9197" w:type="dxa"/>
          </w:tcPr>
          <w:p w:rsidR="00EC5F9F" w:rsidRDefault="00EC5F9F" w:rsidP="00DB2EB2">
            <w:pPr>
              <w:rPr>
                <w:i/>
              </w:rPr>
            </w:pPr>
            <w:r w:rsidRPr="00EC5F9F">
              <w:rPr>
                <w:i/>
              </w:rPr>
              <w:t xml:space="preserve">Please provide details of your current career stage and plans for the immediate future. Why are you a good choice for investment, and how likely are you to succeed? </w:t>
            </w:r>
            <w:r w:rsidR="00F10BE1">
              <w:rPr>
                <w:i/>
              </w:rPr>
              <w:t xml:space="preserve">A CV must be submitted via email. </w:t>
            </w:r>
          </w:p>
          <w:p w:rsidR="00AB5581" w:rsidRDefault="00AB5581" w:rsidP="00DB2EB2">
            <w:pPr>
              <w:rPr>
                <w:b/>
              </w:rPr>
            </w:pPr>
            <w:r>
              <w:rPr>
                <w:i/>
              </w:rPr>
              <w:t>[Max. 2000 characters]</w:t>
            </w:r>
          </w:p>
        </w:tc>
      </w:tr>
      <w:tr w:rsidR="00EC5F9F" w:rsidTr="00DB2EB2">
        <w:tc>
          <w:tcPr>
            <w:tcW w:w="1457" w:type="dxa"/>
            <w:vMerge w:val="restart"/>
            <w:vAlign w:val="center"/>
          </w:tcPr>
          <w:p w:rsidR="00EC5F9F" w:rsidRDefault="00EC5F9F" w:rsidP="00DB2EB2">
            <w:pPr>
              <w:jc w:val="center"/>
              <w:rPr>
                <w:b/>
              </w:rPr>
            </w:pPr>
            <w:r w:rsidRPr="00EC5F9F">
              <w:rPr>
                <w:b/>
              </w:rPr>
              <w:t>Scientific Rationale</w:t>
            </w:r>
            <w:r>
              <w:rPr>
                <w:b/>
              </w:rPr>
              <w:t>:</w:t>
            </w:r>
          </w:p>
          <w:p w:rsidR="00EC5F9F" w:rsidRDefault="00EC5F9F" w:rsidP="00DB2EB2">
            <w:pPr>
              <w:jc w:val="center"/>
              <w:rPr>
                <w:b/>
              </w:rPr>
            </w:pPr>
          </w:p>
        </w:tc>
        <w:tc>
          <w:tcPr>
            <w:tcW w:w="9197" w:type="dxa"/>
          </w:tcPr>
          <w:p w:rsidR="00EC5F9F" w:rsidRDefault="00EC5F9F" w:rsidP="00F10BE1">
            <w:pPr>
              <w:rPr>
                <w:b/>
              </w:rPr>
            </w:pPr>
            <w:r w:rsidRPr="00EC5F9F">
              <w:rPr>
                <w:i/>
              </w:rPr>
              <w:t>Please provide details on how your proposed project fits with both institutional and Wellcome Trust strategy; the specific scientific background to the proposed project; any pilot data you have obtained; and critical data or developments needed to progress</w:t>
            </w:r>
            <w:r w:rsidR="00F10BE1">
              <w:rPr>
                <w:i/>
              </w:rPr>
              <w:t xml:space="preserve"> towards external funding. Preliminary data can be submitted via email. </w:t>
            </w:r>
            <w:r w:rsidR="00AB5581">
              <w:rPr>
                <w:i/>
              </w:rPr>
              <w:t>[Max. 4000 characters]</w:t>
            </w:r>
          </w:p>
        </w:tc>
      </w:tr>
      <w:tr w:rsidR="00EC5F9F" w:rsidTr="00DB2EB2">
        <w:tc>
          <w:tcPr>
            <w:tcW w:w="1457" w:type="dxa"/>
            <w:vMerge/>
            <w:vAlign w:val="center"/>
          </w:tcPr>
          <w:p w:rsidR="00EC5F9F" w:rsidRDefault="00EC5F9F" w:rsidP="00DB2EB2">
            <w:pPr>
              <w:jc w:val="center"/>
              <w:rPr>
                <w:b/>
              </w:rPr>
            </w:pPr>
          </w:p>
        </w:tc>
        <w:tc>
          <w:tcPr>
            <w:tcW w:w="9197" w:type="dxa"/>
          </w:tcPr>
          <w:p w:rsidR="00EC5F9F" w:rsidRDefault="00EC5F9F" w:rsidP="00DB2EB2">
            <w:pPr>
              <w:rPr>
                <w:b/>
              </w:rPr>
            </w:pPr>
            <w:r w:rsidRPr="00EC5F9F">
              <w:rPr>
                <w:i/>
              </w:rPr>
              <w:t xml:space="preserve">Please detail any planned partners, and what specific expertise they bring that will support the project. </w:t>
            </w:r>
            <w:r w:rsidR="00AB5581">
              <w:rPr>
                <w:i/>
              </w:rPr>
              <w:t>[Max. 4000 characters]</w:t>
            </w:r>
          </w:p>
        </w:tc>
      </w:tr>
      <w:tr w:rsidR="00EC5F9F" w:rsidTr="00DB2EB2">
        <w:tc>
          <w:tcPr>
            <w:tcW w:w="1457" w:type="dxa"/>
            <w:vAlign w:val="center"/>
          </w:tcPr>
          <w:p w:rsidR="00EC5F9F" w:rsidRDefault="00EC5F9F" w:rsidP="00DB2EB2">
            <w:pPr>
              <w:jc w:val="center"/>
              <w:rPr>
                <w:b/>
              </w:rPr>
            </w:pPr>
            <w:r w:rsidRPr="00EC5F9F">
              <w:rPr>
                <w:b/>
              </w:rPr>
              <w:t>Delivery Plan and Outputs</w:t>
            </w:r>
          </w:p>
        </w:tc>
        <w:tc>
          <w:tcPr>
            <w:tcW w:w="9197" w:type="dxa"/>
          </w:tcPr>
          <w:p w:rsidR="00EC5F9F" w:rsidRPr="00DB2EB2" w:rsidRDefault="00EC5F9F" w:rsidP="00DB2EB2">
            <w:pPr>
              <w:pStyle w:val="Heading2"/>
              <w:spacing w:before="0"/>
              <w:outlineLvl w:val="1"/>
              <w:rPr>
                <w:rFonts w:asciiTheme="minorHAnsi" w:eastAsiaTheme="minorHAnsi" w:hAnsiTheme="minorHAnsi" w:cstheme="minorBidi"/>
                <w:b w:val="0"/>
                <w:bCs w:val="0"/>
                <w:i/>
                <w:color w:val="auto"/>
                <w:sz w:val="22"/>
                <w:szCs w:val="22"/>
              </w:rPr>
            </w:pPr>
            <w:r w:rsidRPr="00DB2EB2">
              <w:rPr>
                <w:rFonts w:asciiTheme="minorHAnsi" w:eastAsiaTheme="minorHAnsi" w:hAnsiTheme="minorHAnsi" w:cstheme="minorBidi"/>
                <w:b w:val="0"/>
                <w:bCs w:val="0"/>
                <w:i/>
                <w:color w:val="auto"/>
                <w:sz w:val="22"/>
                <w:szCs w:val="22"/>
              </w:rPr>
              <w:t xml:space="preserve">Please outline your intended approach i.e. what you will do and by when. </w:t>
            </w:r>
            <w:r w:rsidR="00DB2EB2" w:rsidRPr="00DB2EB2">
              <w:rPr>
                <w:rFonts w:asciiTheme="minorHAnsi" w:eastAsiaTheme="minorHAnsi" w:hAnsiTheme="minorHAnsi" w:cstheme="minorBidi"/>
                <w:b w:val="0"/>
                <w:bCs w:val="0"/>
                <w:i/>
                <w:color w:val="auto"/>
                <w:sz w:val="22"/>
                <w:szCs w:val="22"/>
              </w:rPr>
              <w:t xml:space="preserve">A gantt chart must be submitted via email. </w:t>
            </w:r>
            <w:r w:rsidR="00AB5581" w:rsidRPr="00DB2EB2">
              <w:rPr>
                <w:rFonts w:asciiTheme="minorHAnsi" w:eastAsiaTheme="minorHAnsi" w:hAnsiTheme="minorHAnsi" w:cstheme="minorBidi"/>
                <w:b w:val="0"/>
                <w:bCs w:val="0"/>
                <w:i/>
                <w:color w:val="auto"/>
                <w:sz w:val="22"/>
                <w:szCs w:val="22"/>
              </w:rPr>
              <w:t xml:space="preserve"> [Max. 4000 characters]</w:t>
            </w:r>
          </w:p>
        </w:tc>
      </w:tr>
      <w:tr w:rsidR="00EC5F9F" w:rsidTr="00DB2EB2">
        <w:tc>
          <w:tcPr>
            <w:tcW w:w="1457" w:type="dxa"/>
            <w:vAlign w:val="center"/>
          </w:tcPr>
          <w:p w:rsidR="00EC5F9F" w:rsidRPr="00EC5F9F" w:rsidRDefault="00EC5F9F" w:rsidP="00DB2EB2">
            <w:pPr>
              <w:jc w:val="center"/>
              <w:rPr>
                <w:b/>
              </w:rPr>
            </w:pPr>
            <w:r w:rsidRPr="00EC5F9F">
              <w:rPr>
                <w:b/>
              </w:rPr>
              <w:t>Outcomes and Next Steps</w:t>
            </w:r>
          </w:p>
          <w:p w:rsidR="00EC5F9F" w:rsidRDefault="00EC5F9F" w:rsidP="00DB2EB2">
            <w:pPr>
              <w:jc w:val="center"/>
              <w:rPr>
                <w:b/>
              </w:rPr>
            </w:pPr>
          </w:p>
        </w:tc>
        <w:tc>
          <w:tcPr>
            <w:tcW w:w="9197" w:type="dxa"/>
          </w:tcPr>
          <w:p w:rsidR="00DB2EB2" w:rsidRDefault="00EC5F9F" w:rsidP="00DB2EB2">
            <w:pPr>
              <w:rPr>
                <w:i/>
              </w:rPr>
            </w:pPr>
            <w:r w:rsidRPr="00EC5F9F">
              <w:rPr>
                <w:i/>
              </w:rPr>
              <w:t xml:space="preserve">Please clearly detail the list of expected outputs, and how these will benefit the institution as well as yourself. You should also outline the specific next grant or Fellowship you are applying for subsequent to this award, including details of any discussions with local College-based Research Support teams, external collaborators/partners and funding bodies themselves. </w:t>
            </w:r>
          </w:p>
          <w:p w:rsidR="00EC5F9F" w:rsidRDefault="00AB5581" w:rsidP="00DB2EB2">
            <w:pPr>
              <w:rPr>
                <w:b/>
              </w:rPr>
            </w:pPr>
            <w:r>
              <w:rPr>
                <w:i/>
              </w:rPr>
              <w:t>[Max. 4000 characters]</w:t>
            </w:r>
          </w:p>
        </w:tc>
      </w:tr>
      <w:tr w:rsidR="00EC5F9F" w:rsidTr="00DB2EB2">
        <w:tc>
          <w:tcPr>
            <w:tcW w:w="1457" w:type="dxa"/>
            <w:vAlign w:val="center"/>
          </w:tcPr>
          <w:p w:rsidR="00EC5F9F" w:rsidRPr="00EC5F9F" w:rsidRDefault="00EC5F9F" w:rsidP="00DB2EB2">
            <w:pPr>
              <w:jc w:val="center"/>
              <w:rPr>
                <w:i/>
              </w:rPr>
            </w:pPr>
            <w:r w:rsidRPr="00EC5F9F">
              <w:rPr>
                <w:b/>
              </w:rPr>
              <w:lastRenderedPageBreak/>
              <w:t>Funding Request</w:t>
            </w:r>
          </w:p>
        </w:tc>
        <w:tc>
          <w:tcPr>
            <w:tcW w:w="9197" w:type="dxa"/>
          </w:tcPr>
          <w:p w:rsidR="00EC5F9F" w:rsidRPr="00EC5F9F" w:rsidRDefault="00EC5F9F" w:rsidP="00DB2EB2">
            <w:pPr>
              <w:pStyle w:val="Heading2"/>
              <w:spacing w:before="0"/>
              <w:outlineLvl w:val="1"/>
              <w:rPr>
                <w:i/>
              </w:rPr>
            </w:pPr>
            <w:r w:rsidRPr="00EC5F9F">
              <w:rPr>
                <w:rFonts w:asciiTheme="minorHAnsi" w:eastAsiaTheme="minorHAnsi" w:hAnsiTheme="minorHAnsi" w:cstheme="minorBidi"/>
                <w:b w:val="0"/>
                <w:bCs w:val="0"/>
                <w:i/>
                <w:color w:val="auto"/>
                <w:sz w:val="22"/>
                <w:szCs w:val="22"/>
              </w:rPr>
              <w:t>Please provide d</w:t>
            </w:r>
            <w:r w:rsidR="00AB5581">
              <w:rPr>
                <w:rFonts w:asciiTheme="minorHAnsi" w:eastAsiaTheme="minorHAnsi" w:hAnsiTheme="minorHAnsi" w:cstheme="minorBidi"/>
                <w:b w:val="0"/>
                <w:bCs w:val="0"/>
                <w:i/>
                <w:color w:val="auto"/>
                <w:sz w:val="22"/>
                <w:szCs w:val="22"/>
              </w:rPr>
              <w:t xml:space="preserve">etails on the required funding, including a justification for why costs are needed.  </w:t>
            </w:r>
            <w:r w:rsidRPr="00AB5581">
              <w:rPr>
                <w:rFonts w:asciiTheme="minorHAnsi" w:eastAsiaTheme="minorHAnsi" w:hAnsiTheme="minorHAnsi" w:cstheme="minorBidi"/>
                <w:b w:val="0"/>
                <w:bCs w:val="0"/>
                <w:i/>
                <w:color w:val="auto"/>
                <w:sz w:val="22"/>
                <w:szCs w:val="22"/>
              </w:rPr>
              <w:t>This question is broken down into costs which fall under the following headings:</w:t>
            </w:r>
          </w:p>
          <w:p w:rsidR="00EC5F9F" w:rsidRPr="00EC5F9F" w:rsidRDefault="00EC5F9F" w:rsidP="00DB2EB2">
            <w:pPr>
              <w:pStyle w:val="ListParagraph"/>
              <w:numPr>
                <w:ilvl w:val="0"/>
                <w:numId w:val="5"/>
              </w:numPr>
              <w:rPr>
                <w:i/>
              </w:rPr>
            </w:pPr>
            <w:r w:rsidRPr="00EC5F9F">
              <w:rPr>
                <w:i/>
              </w:rPr>
              <w:t>PI salary costs</w:t>
            </w:r>
          </w:p>
          <w:p w:rsidR="00EC5F9F" w:rsidRPr="00EC5F9F" w:rsidRDefault="00EC5F9F" w:rsidP="00DB2EB2">
            <w:pPr>
              <w:pStyle w:val="ListParagraph"/>
              <w:numPr>
                <w:ilvl w:val="0"/>
                <w:numId w:val="5"/>
              </w:numPr>
              <w:rPr>
                <w:i/>
              </w:rPr>
            </w:pPr>
            <w:r w:rsidRPr="00EC5F9F">
              <w:rPr>
                <w:i/>
              </w:rPr>
              <w:t>Other salary costs</w:t>
            </w:r>
          </w:p>
          <w:p w:rsidR="00EC5F9F" w:rsidRPr="00EC5F9F" w:rsidRDefault="00EC5F9F" w:rsidP="00DB2EB2">
            <w:pPr>
              <w:pStyle w:val="ListParagraph"/>
              <w:numPr>
                <w:ilvl w:val="0"/>
                <w:numId w:val="5"/>
              </w:numPr>
              <w:rPr>
                <w:i/>
              </w:rPr>
            </w:pPr>
            <w:r w:rsidRPr="00EC5F9F">
              <w:rPr>
                <w:i/>
              </w:rPr>
              <w:t>Consumables</w:t>
            </w:r>
          </w:p>
          <w:p w:rsidR="00EC5F9F" w:rsidRPr="00EC5F9F" w:rsidRDefault="00EC5F9F" w:rsidP="00DB2EB2">
            <w:pPr>
              <w:pStyle w:val="ListParagraph"/>
              <w:numPr>
                <w:ilvl w:val="0"/>
                <w:numId w:val="5"/>
              </w:numPr>
              <w:rPr>
                <w:i/>
              </w:rPr>
            </w:pPr>
            <w:r w:rsidRPr="00EC5F9F">
              <w:rPr>
                <w:i/>
              </w:rPr>
              <w:t>Travel and Subsistence</w:t>
            </w:r>
          </w:p>
          <w:p w:rsidR="00EC5F9F" w:rsidRPr="00EC5F9F" w:rsidRDefault="00EC5F9F" w:rsidP="00DB2EB2">
            <w:pPr>
              <w:pStyle w:val="ListParagraph"/>
              <w:numPr>
                <w:ilvl w:val="0"/>
                <w:numId w:val="5"/>
              </w:numPr>
              <w:rPr>
                <w:i/>
              </w:rPr>
            </w:pPr>
            <w:r w:rsidRPr="00EC5F9F">
              <w:rPr>
                <w:i/>
              </w:rPr>
              <w:t>Other Costs</w:t>
            </w:r>
          </w:p>
          <w:p w:rsidR="00EC5F9F" w:rsidRPr="00EC5F9F" w:rsidRDefault="00EC5F9F" w:rsidP="00DB2EB2">
            <w:pPr>
              <w:pStyle w:val="ListParagraph"/>
              <w:numPr>
                <w:ilvl w:val="0"/>
                <w:numId w:val="5"/>
              </w:numPr>
              <w:jc w:val="both"/>
              <w:rPr>
                <w:i/>
              </w:rPr>
            </w:pPr>
            <w:r w:rsidRPr="00EC5F9F">
              <w:rPr>
                <w:i/>
              </w:rPr>
              <w:t>Total</w:t>
            </w:r>
          </w:p>
        </w:tc>
      </w:tr>
    </w:tbl>
    <w:p w:rsidR="00D32AA2" w:rsidRPr="00DB2EB2" w:rsidRDefault="00D32AA2" w:rsidP="00D32AA2">
      <w:pPr>
        <w:spacing w:after="0" w:line="240" w:lineRule="auto"/>
        <w:jc w:val="both"/>
        <w:rPr>
          <w:b/>
          <w:sz w:val="10"/>
          <w:szCs w:val="10"/>
          <w:u w:val="single"/>
        </w:rPr>
      </w:pPr>
    </w:p>
    <w:p w:rsidR="00A62CEB" w:rsidRPr="00A62CEB" w:rsidRDefault="00A62CEB" w:rsidP="00A62CEB">
      <w:pPr>
        <w:pStyle w:val="Heading2"/>
        <w:spacing w:before="0" w:line="240" w:lineRule="auto"/>
        <w:rPr>
          <w:rFonts w:asciiTheme="minorHAnsi" w:hAnsiTheme="minorHAnsi"/>
          <w:sz w:val="25"/>
          <w:szCs w:val="25"/>
        </w:rPr>
      </w:pPr>
      <w:r w:rsidRPr="00A62CEB">
        <w:rPr>
          <w:rFonts w:asciiTheme="minorHAnsi" w:hAnsiTheme="minorHAnsi"/>
          <w:sz w:val="25"/>
          <w:szCs w:val="25"/>
        </w:rPr>
        <w:t>Queries and questions</w:t>
      </w:r>
    </w:p>
    <w:p w:rsidR="00A62CEB" w:rsidRDefault="00A62CEB" w:rsidP="00DB2EB2">
      <w:pPr>
        <w:spacing w:after="0" w:line="240" w:lineRule="auto"/>
      </w:pPr>
      <w:r>
        <w:t>Project specific questions should be directed to your</w:t>
      </w:r>
      <w:r w:rsidR="000353FB">
        <w:t xml:space="preserve"> College</w:t>
      </w:r>
      <w:r>
        <w:t xml:space="preserve"> Research Support Office:</w:t>
      </w:r>
    </w:p>
    <w:p w:rsidR="00A62CEB" w:rsidRDefault="00A62CEB" w:rsidP="00466524">
      <w:pPr>
        <w:pStyle w:val="Heading2"/>
        <w:spacing w:before="0" w:line="240" w:lineRule="auto"/>
        <w:jc w:val="center"/>
        <w:rPr>
          <w:rFonts w:asciiTheme="minorHAnsi" w:hAnsiTheme="minorHAnsi"/>
          <w:sz w:val="24"/>
          <w:szCs w:val="24"/>
        </w:rPr>
      </w:pPr>
    </w:p>
    <w:tbl>
      <w:tblPr>
        <w:tblStyle w:val="TableGrid"/>
        <w:tblW w:w="0" w:type="auto"/>
        <w:tblLook w:val="04A0" w:firstRow="1" w:lastRow="0" w:firstColumn="1" w:lastColumn="0" w:noHBand="0" w:noVBand="1"/>
      </w:tblPr>
      <w:tblGrid>
        <w:gridCol w:w="3114"/>
        <w:gridCol w:w="6939"/>
      </w:tblGrid>
      <w:tr w:rsidR="001950DB" w:rsidTr="001950DB">
        <w:tc>
          <w:tcPr>
            <w:tcW w:w="3114" w:type="dxa"/>
          </w:tcPr>
          <w:p w:rsidR="001950DB" w:rsidRDefault="001950DB" w:rsidP="001950DB">
            <w:r>
              <w:t>Arts &amp; Law</w:t>
            </w:r>
          </w:p>
          <w:p w:rsidR="000353FB" w:rsidRDefault="000353FB" w:rsidP="001950DB"/>
        </w:tc>
        <w:tc>
          <w:tcPr>
            <w:tcW w:w="6939" w:type="dxa"/>
          </w:tcPr>
          <w:p w:rsidR="001950DB" w:rsidRPr="000353FB" w:rsidRDefault="00993D45" w:rsidP="001950DB">
            <w:pPr>
              <w:rPr>
                <w:sz w:val="20"/>
                <w:szCs w:val="20"/>
              </w:rPr>
            </w:pPr>
            <w:hyperlink r:id="rId12" w:history="1">
              <w:r w:rsidR="001950DB" w:rsidRPr="000353FB">
                <w:rPr>
                  <w:rStyle w:val="Hyperlink"/>
                  <w:sz w:val="20"/>
                  <w:szCs w:val="20"/>
                </w:rPr>
                <w:t>https://intranet.birmingham.ac.uk/arts-law/i/rkt/research-support.aspx</w:t>
              </w:r>
            </w:hyperlink>
            <w:r w:rsidR="001950DB" w:rsidRPr="000353FB">
              <w:rPr>
                <w:sz w:val="20"/>
                <w:szCs w:val="20"/>
              </w:rPr>
              <w:t xml:space="preserve"> </w:t>
            </w:r>
          </w:p>
        </w:tc>
      </w:tr>
      <w:tr w:rsidR="001950DB" w:rsidTr="001950DB">
        <w:tc>
          <w:tcPr>
            <w:tcW w:w="3114" w:type="dxa"/>
          </w:tcPr>
          <w:p w:rsidR="001950DB" w:rsidRDefault="001950DB" w:rsidP="001950DB">
            <w:r>
              <w:t>Engineering &amp; Physical Sciences</w:t>
            </w:r>
          </w:p>
        </w:tc>
        <w:tc>
          <w:tcPr>
            <w:tcW w:w="6939" w:type="dxa"/>
          </w:tcPr>
          <w:p w:rsidR="001950DB" w:rsidRPr="000353FB" w:rsidRDefault="00993D45" w:rsidP="001950DB">
            <w:pPr>
              <w:rPr>
                <w:sz w:val="20"/>
                <w:szCs w:val="20"/>
              </w:rPr>
            </w:pPr>
            <w:hyperlink r:id="rId13" w:history="1">
              <w:r w:rsidR="000353FB" w:rsidRPr="000353FB">
                <w:rPr>
                  <w:rStyle w:val="Hyperlink"/>
                  <w:sz w:val="20"/>
                  <w:szCs w:val="20"/>
                </w:rPr>
                <w:t>https://intranet.birmingham.ac.uk/eps/research-support/Research-Support-team/research-support.aspx</w:t>
              </w:r>
            </w:hyperlink>
            <w:r w:rsidR="000353FB" w:rsidRPr="000353FB">
              <w:rPr>
                <w:sz w:val="20"/>
                <w:szCs w:val="20"/>
              </w:rPr>
              <w:t xml:space="preserve"> </w:t>
            </w:r>
          </w:p>
        </w:tc>
      </w:tr>
      <w:tr w:rsidR="001950DB" w:rsidTr="001950DB">
        <w:tc>
          <w:tcPr>
            <w:tcW w:w="3114" w:type="dxa"/>
          </w:tcPr>
          <w:p w:rsidR="001950DB" w:rsidRDefault="001950DB" w:rsidP="001950DB">
            <w:r>
              <w:t>Life &amp; Environmental Sciences</w:t>
            </w:r>
          </w:p>
          <w:p w:rsidR="000353FB" w:rsidRDefault="000353FB" w:rsidP="001950DB"/>
        </w:tc>
        <w:tc>
          <w:tcPr>
            <w:tcW w:w="6939" w:type="dxa"/>
          </w:tcPr>
          <w:p w:rsidR="001950DB" w:rsidRPr="000353FB" w:rsidRDefault="00993D45" w:rsidP="001950DB">
            <w:pPr>
              <w:rPr>
                <w:sz w:val="20"/>
                <w:szCs w:val="20"/>
              </w:rPr>
            </w:pPr>
            <w:hyperlink r:id="rId14" w:history="1">
              <w:r w:rsidR="001950DB" w:rsidRPr="000353FB">
                <w:rPr>
                  <w:rStyle w:val="Hyperlink"/>
                  <w:sz w:val="20"/>
                  <w:szCs w:val="20"/>
                </w:rPr>
                <w:t>https://intranet.birmingham.ac.uk/les/college-services/crso/index.aspx</w:t>
              </w:r>
            </w:hyperlink>
          </w:p>
        </w:tc>
      </w:tr>
      <w:tr w:rsidR="001950DB" w:rsidTr="001950DB">
        <w:tc>
          <w:tcPr>
            <w:tcW w:w="3114" w:type="dxa"/>
          </w:tcPr>
          <w:p w:rsidR="001950DB" w:rsidRDefault="001950DB" w:rsidP="001950DB">
            <w:r>
              <w:t>Medical &amp; Dental Sciences</w:t>
            </w:r>
          </w:p>
          <w:p w:rsidR="000353FB" w:rsidRDefault="000353FB" w:rsidP="001950DB"/>
        </w:tc>
        <w:tc>
          <w:tcPr>
            <w:tcW w:w="6939" w:type="dxa"/>
          </w:tcPr>
          <w:p w:rsidR="001950DB" w:rsidRPr="000353FB" w:rsidRDefault="00993D45" w:rsidP="001950DB">
            <w:pPr>
              <w:rPr>
                <w:sz w:val="20"/>
                <w:szCs w:val="20"/>
              </w:rPr>
            </w:pPr>
            <w:hyperlink r:id="rId15" w:history="1">
              <w:r w:rsidR="001950DB" w:rsidRPr="000353FB">
                <w:rPr>
                  <w:rStyle w:val="Hyperlink"/>
                  <w:sz w:val="20"/>
                  <w:szCs w:val="20"/>
                </w:rPr>
                <w:t>https://intranet.birmingham.ac.uk/mds/college-services/rkto/contact.aspx</w:t>
              </w:r>
            </w:hyperlink>
            <w:r w:rsidR="001950DB" w:rsidRPr="000353FB">
              <w:rPr>
                <w:sz w:val="20"/>
                <w:szCs w:val="20"/>
              </w:rPr>
              <w:t xml:space="preserve"> </w:t>
            </w:r>
          </w:p>
        </w:tc>
      </w:tr>
      <w:tr w:rsidR="001950DB" w:rsidTr="001950DB">
        <w:tc>
          <w:tcPr>
            <w:tcW w:w="3114" w:type="dxa"/>
          </w:tcPr>
          <w:p w:rsidR="001950DB" w:rsidRDefault="001950DB" w:rsidP="001950DB">
            <w:r>
              <w:t>Social Sciences</w:t>
            </w:r>
          </w:p>
        </w:tc>
        <w:tc>
          <w:tcPr>
            <w:tcW w:w="6939" w:type="dxa"/>
          </w:tcPr>
          <w:p w:rsidR="001950DB" w:rsidRPr="000353FB" w:rsidRDefault="00993D45" w:rsidP="001950DB">
            <w:pPr>
              <w:rPr>
                <w:sz w:val="20"/>
                <w:szCs w:val="20"/>
              </w:rPr>
            </w:pPr>
            <w:hyperlink r:id="rId16" w:history="1">
              <w:r w:rsidR="001950DB" w:rsidRPr="000353FB">
                <w:rPr>
                  <w:rStyle w:val="Hyperlink"/>
                  <w:sz w:val="20"/>
                  <w:szCs w:val="20"/>
                </w:rPr>
                <w:t>https://intranet.birmingham.ac.uk/social-sciences/college-services/crso/Index.aspx</w:t>
              </w:r>
            </w:hyperlink>
            <w:r w:rsidR="001950DB" w:rsidRPr="000353FB">
              <w:rPr>
                <w:sz w:val="20"/>
                <w:szCs w:val="20"/>
              </w:rPr>
              <w:t xml:space="preserve"> </w:t>
            </w:r>
          </w:p>
        </w:tc>
      </w:tr>
    </w:tbl>
    <w:p w:rsidR="00A62CEB" w:rsidRPr="001950DB" w:rsidRDefault="00A62CEB" w:rsidP="001950DB">
      <w:pPr>
        <w:pStyle w:val="Heading2"/>
        <w:spacing w:before="0" w:line="240" w:lineRule="auto"/>
        <w:rPr>
          <w:rFonts w:asciiTheme="minorHAnsi" w:hAnsiTheme="minorHAnsi"/>
          <w:sz w:val="24"/>
          <w:szCs w:val="24"/>
        </w:rPr>
      </w:pPr>
    </w:p>
    <w:p w:rsidR="003D5C61" w:rsidRPr="00A62CEB" w:rsidRDefault="003D5C61" w:rsidP="00DB2EB2">
      <w:pPr>
        <w:spacing w:after="0" w:line="240" w:lineRule="auto"/>
        <w:rPr>
          <w:b/>
        </w:rPr>
      </w:pPr>
    </w:p>
    <w:p w:rsidR="00FD0EFE" w:rsidRPr="008A7654" w:rsidRDefault="008A7654" w:rsidP="00DB2EB2">
      <w:pPr>
        <w:spacing w:after="0" w:line="240" w:lineRule="auto"/>
      </w:pPr>
      <w:r>
        <w:t>If you have any questions or queries about the</w:t>
      </w:r>
      <w:r w:rsidR="00A62CEB">
        <w:t xml:space="preserve"> technicalities of applying for the</w:t>
      </w:r>
      <w:r>
        <w:t xml:space="preserve"> </w:t>
      </w:r>
      <w:r w:rsidRPr="008A7654">
        <w:t>Birmingham-Wellcome Trust Career Development Hub</w:t>
      </w:r>
      <w:r>
        <w:t xml:space="preserve"> please contact: </w:t>
      </w:r>
      <w:hyperlink r:id="rId17" w:history="1">
        <w:r w:rsidR="0080053C" w:rsidRPr="00920D0C">
          <w:rPr>
            <w:rStyle w:val="Hyperlink"/>
          </w:rPr>
          <w:t>wellcomeissf@contacts.bham.ac.uk</w:t>
        </w:r>
      </w:hyperlink>
      <w:r>
        <w:t xml:space="preserve"> </w:t>
      </w:r>
      <w:bookmarkStart w:id="7" w:name="_GoBack"/>
      <w:bookmarkEnd w:id="7"/>
    </w:p>
    <w:sectPr w:rsidR="00FD0EFE" w:rsidRPr="008A7654" w:rsidSect="0091206F">
      <w:headerReference w:type="default" r:id="rId18"/>
      <w:footerReference w:type="default" r:id="rId19"/>
      <w:pgSz w:w="11906" w:h="16838"/>
      <w:pgMar w:top="851" w:right="992" w:bottom="737"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21" w:rsidRDefault="00E32C21" w:rsidP="00A748B3">
      <w:pPr>
        <w:spacing w:after="0" w:line="240" w:lineRule="auto"/>
      </w:pPr>
      <w:r>
        <w:separator/>
      </w:r>
    </w:p>
  </w:endnote>
  <w:endnote w:type="continuationSeparator" w:id="0">
    <w:p w:rsidR="00E32C21" w:rsidRDefault="00E32C21" w:rsidP="00A7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38" w:rsidRPr="001950DB" w:rsidRDefault="00466524" w:rsidP="00725ABD">
    <w:pPr>
      <w:pStyle w:val="Footer"/>
      <w:tabs>
        <w:tab w:val="clear" w:pos="9026"/>
        <w:tab w:val="center" w:pos="5102"/>
        <w:tab w:val="right" w:pos="8505"/>
        <w:tab w:val="right" w:pos="10204"/>
      </w:tabs>
      <w:rPr>
        <w:sz w:val="16"/>
        <w:szCs w:val="16"/>
      </w:rPr>
    </w:pPr>
    <w:r>
      <w:tab/>
    </w:r>
    <w:r>
      <w:tab/>
    </w:r>
    <w:sdt>
      <w:sdtPr>
        <w:id w:val="-91243394"/>
        <w:docPartObj>
          <w:docPartGallery w:val="Page Numbers (Bottom of Page)"/>
          <w:docPartUnique/>
        </w:docPartObj>
      </w:sdtPr>
      <w:sdtEndPr>
        <w:rPr>
          <w:noProof/>
        </w:rPr>
      </w:sdtEndPr>
      <w:sdtContent>
        <w:r w:rsidR="00414A38">
          <w:fldChar w:fldCharType="begin"/>
        </w:r>
        <w:r w:rsidR="00414A38">
          <w:instrText xml:space="preserve"> PAGE   \* MERGEFORMAT </w:instrText>
        </w:r>
        <w:r w:rsidR="00414A38">
          <w:fldChar w:fldCharType="separate"/>
        </w:r>
        <w:r w:rsidR="00993D45">
          <w:rPr>
            <w:noProof/>
          </w:rPr>
          <w:t>1</w:t>
        </w:r>
        <w:r w:rsidR="00414A38">
          <w:rPr>
            <w:noProof/>
          </w:rPr>
          <w:fldChar w:fldCharType="end"/>
        </w:r>
      </w:sdtContent>
    </w:sdt>
    <w:r w:rsidR="001950DB">
      <w:rPr>
        <w:noProof/>
      </w:rPr>
      <w:tab/>
    </w:r>
    <w:r w:rsidR="001950DB" w:rsidRPr="001950DB">
      <w:rPr>
        <w:noProof/>
        <w:sz w:val="16"/>
        <w:szCs w:val="16"/>
      </w:rPr>
      <w:ptab w:relativeTo="margin" w:alignment="right" w:leader="none"/>
    </w:r>
    <w:r w:rsidR="00725ABD" w:rsidRPr="001950DB">
      <w:rPr>
        <w:noProof/>
        <w:sz w:val="16"/>
        <w:szCs w:val="16"/>
      </w:rPr>
      <w:t xml:space="preserve">Updated: </w:t>
    </w:r>
    <w:r w:rsidR="009340AF">
      <w:rPr>
        <w:noProof/>
        <w:sz w:val="16"/>
        <w:szCs w:val="16"/>
      </w:rPr>
      <w:t>10/9/20</w:t>
    </w:r>
  </w:p>
  <w:p w:rsidR="00414A38" w:rsidRDefault="004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21" w:rsidRDefault="00E32C21" w:rsidP="00A748B3">
      <w:pPr>
        <w:spacing w:after="0" w:line="240" w:lineRule="auto"/>
      </w:pPr>
      <w:r>
        <w:separator/>
      </w:r>
    </w:p>
  </w:footnote>
  <w:footnote w:type="continuationSeparator" w:id="0">
    <w:p w:rsidR="00E32C21" w:rsidRDefault="00E32C21" w:rsidP="00A7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B3" w:rsidRDefault="00A748B3">
    <w:pPr>
      <w:pStyle w:val="Header"/>
    </w:pPr>
    <w:r>
      <w:rPr>
        <w:noProof/>
        <w:lang w:eastAsia="en-GB"/>
      </w:rPr>
      <w:drawing>
        <wp:inline distT="0" distB="0" distL="0" distR="0" wp14:anchorId="2ACE855F" wp14:editId="4FDF4BA0">
          <wp:extent cx="2009775" cy="502444"/>
          <wp:effectExtent l="0" t="0" r="0" b="0"/>
          <wp:docPr id="10" name="Picture 10"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291" cy="503823"/>
                  </a:xfrm>
                  <a:prstGeom prst="rect">
                    <a:avLst/>
                  </a:prstGeom>
                  <a:noFill/>
                  <a:ln>
                    <a:noFill/>
                  </a:ln>
                </pic:spPr>
              </pic:pic>
            </a:graphicData>
          </a:graphic>
        </wp:inline>
      </w:drawing>
    </w:r>
    <w:r>
      <w:t xml:space="preserve">                                                                                                                </w:t>
    </w:r>
    <w:r>
      <w:rPr>
        <w:noProof/>
        <w:lang w:eastAsia="en-GB"/>
      </w:rPr>
      <w:drawing>
        <wp:inline distT="0" distB="0" distL="0" distR="0" wp14:anchorId="44652938" wp14:editId="77EB18FD">
          <wp:extent cx="552450" cy="552450"/>
          <wp:effectExtent l="0" t="0" r="0" b="0"/>
          <wp:docPr id="11" name="Picture 11" descr="Image result for wellco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llcome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049" cy="5520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D87"/>
    <w:multiLevelType w:val="hybridMultilevel"/>
    <w:tmpl w:val="FB0A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53797"/>
    <w:multiLevelType w:val="hybridMultilevel"/>
    <w:tmpl w:val="BE6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C8B30CB"/>
    <w:multiLevelType w:val="hybridMultilevel"/>
    <w:tmpl w:val="20C6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92F9C"/>
    <w:multiLevelType w:val="hybridMultilevel"/>
    <w:tmpl w:val="3BB4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22D3B"/>
    <w:multiLevelType w:val="hybridMultilevel"/>
    <w:tmpl w:val="B6D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C7"/>
    <w:rsid w:val="000353FB"/>
    <w:rsid w:val="000A421E"/>
    <w:rsid w:val="000B0AEB"/>
    <w:rsid w:val="000E45C7"/>
    <w:rsid w:val="000F26BB"/>
    <w:rsid w:val="001704D2"/>
    <w:rsid w:val="001950DB"/>
    <w:rsid w:val="00195203"/>
    <w:rsid w:val="001C3D9C"/>
    <w:rsid w:val="00291F82"/>
    <w:rsid w:val="002B7075"/>
    <w:rsid w:val="00304F84"/>
    <w:rsid w:val="003577F9"/>
    <w:rsid w:val="003D5C61"/>
    <w:rsid w:val="003E0D7B"/>
    <w:rsid w:val="00414A38"/>
    <w:rsid w:val="00466524"/>
    <w:rsid w:val="004B162D"/>
    <w:rsid w:val="00542AAE"/>
    <w:rsid w:val="0061367E"/>
    <w:rsid w:val="006D1EDD"/>
    <w:rsid w:val="00725ABD"/>
    <w:rsid w:val="00773337"/>
    <w:rsid w:val="00775FF3"/>
    <w:rsid w:val="007B29D9"/>
    <w:rsid w:val="007C6F0A"/>
    <w:rsid w:val="007C777A"/>
    <w:rsid w:val="0080053C"/>
    <w:rsid w:val="008975BF"/>
    <w:rsid w:val="008A7654"/>
    <w:rsid w:val="008E2D17"/>
    <w:rsid w:val="0091206F"/>
    <w:rsid w:val="00916157"/>
    <w:rsid w:val="009340AF"/>
    <w:rsid w:val="00993D45"/>
    <w:rsid w:val="00A62CEB"/>
    <w:rsid w:val="00A748B3"/>
    <w:rsid w:val="00AA4A1E"/>
    <w:rsid w:val="00AB5581"/>
    <w:rsid w:val="00B65DAF"/>
    <w:rsid w:val="00B66748"/>
    <w:rsid w:val="00B7758C"/>
    <w:rsid w:val="00B82CEC"/>
    <w:rsid w:val="00BA2C8D"/>
    <w:rsid w:val="00BF5647"/>
    <w:rsid w:val="00C41FB0"/>
    <w:rsid w:val="00C63913"/>
    <w:rsid w:val="00C7182F"/>
    <w:rsid w:val="00CA2497"/>
    <w:rsid w:val="00CA3B6F"/>
    <w:rsid w:val="00CC065E"/>
    <w:rsid w:val="00CD71E5"/>
    <w:rsid w:val="00D00707"/>
    <w:rsid w:val="00D22F7F"/>
    <w:rsid w:val="00D32AA2"/>
    <w:rsid w:val="00D45578"/>
    <w:rsid w:val="00DB2EB2"/>
    <w:rsid w:val="00DE1E50"/>
    <w:rsid w:val="00E32C21"/>
    <w:rsid w:val="00E3646E"/>
    <w:rsid w:val="00E53884"/>
    <w:rsid w:val="00E568A6"/>
    <w:rsid w:val="00EA459D"/>
    <w:rsid w:val="00EB7D5F"/>
    <w:rsid w:val="00EC5F9F"/>
    <w:rsid w:val="00F10BE1"/>
    <w:rsid w:val="00F21A9F"/>
    <w:rsid w:val="00F44BDC"/>
    <w:rsid w:val="00FD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CC1EC"/>
  <w15:docId w15:val="{B0FB19E2-CD34-402A-98CC-D93B629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A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5E"/>
    <w:pPr>
      <w:ind w:left="720"/>
      <w:contextualSpacing/>
    </w:pPr>
  </w:style>
  <w:style w:type="character" w:styleId="Hyperlink">
    <w:name w:val="Hyperlink"/>
    <w:basedOn w:val="DefaultParagraphFont"/>
    <w:uiPriority w:val="99"/>
    <w:unhideWhenUsed/>
    <w:rsid w:val="00CA3B6F"/>
    <w:rPr>
      <w:color w:val="0000FF" w:themeColor="hyperlink"/>
      <w:u w:val="single"/>
    </w:rPr>
  </w:style>
  <w:style w:type="paragraph" w:styleId="Header">
    <w:name w:val="header"/>
    <w:basedOn w:val="Normal"/>
    <w:link w:val="HeaderChar"/>
    <w:uiPriority w:val="99"/>
    <w:unhideWhenUsed/>
    <w:rsid w:val="00A7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B3"/>
  </w:style>
  <w:style w:type="paragraph" w:styleId="Footer">
    <w:name w:val="footer"/>
    <w:basedOn w:val="Normal"/>
    <w:link w:val="FooterChar"/>
    <w:uiPriority w:val="99"/>
    <w:unhideWhenUsed/>
    <w:rsid w:val="00A7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B3"/>
  </w:style>
  <w:style w:type="paragraph" w:styleId="BalloonText">
    <w:name w:val="Balloon Text"/>
    <w:basedOn w:val="Normal"/>
    <w:link w:val="BalloonTextChar"/>
    <w:uiPriority w:val="99"/>
    <w:semiHidden/>
    <w:unhideWhenUsed/>
    <w:rsid w:val="00A7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B3"/>
    <w:rPr>
      <w:rFonts w:ascii="Tahoma" w:hAnsi="Tahoma" w:cs="Tahoma"/>
      <w:sz w:val="16"/>
      <w:szCs w:val="16"/>
    </w:rPr>
  </w:style>
  <w:style w:type="character" w:customStyle="1" w:styleId="Heading1Char">
    <w:name w:val="Heading 1 Char"/>
    <w:basedOn w:val="DefaultParagraphFont"/>
    <w:link w:val="Heading1"/>
    <w:uiPriority w:val="9"/>
    <w:rsid w:val="00F21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A9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21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A9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66748"/>
    <w:pPr>
      <w:outlineLvl w:val="9"/>
    </w:pPr>
    <w:rPr>
      <w:lang w:val="en-US" w:eastAsia="ja-JP"/>
    </w:rPr>
  </w:style>
  <w:style w:type="paragraph" w:styleId="TOC1">
    <w:name w:val="toc 1"/>
    <w:basedOn w:val="Normal"/>
    <w:next w:val="Normal"/>
    <w:autoRedefine/>
    <w:uiPriority w:val="39"/>
    <w:unhideWhenUsed/>
    <w:rsid w:val="00B66748"/>
    <w:pPr>
      <w:spacing w:after="100"/>
    </w:pPr>
  </w:style>
  <w:style w:type="paragraph" w:styleId="TOC2">
    <w:name w:val="toc 2"/>
    <w:basedOn w:val="Normal"/>
    <w:next w:val="Normal"/>
    <w:autoRedefine/>
    <w:uiPriority w:val="39"/>
    <w:unhideWhenUsed/>
    <w:rsid w:val="00B66748"/>
    <w:pPr>
      <w:spacing w:after="100"/>
      <w:ind w:left="220"/>
    </w:pPr>
  </w:style>
  <w:style w:type="paragraph" w:styleId="z-TopofForm">
    <w:name w:val="HTML Top of Form"/>
    <w:basedOn w:val="Normal"/>
    <w:next w:val="Normal"/>
    <w:link w:val="z-TopofFormChar"/>
    <w:hidden/>
    <w:uiPriority w:val="99"/>
    <w:semiHidden/>
    <w:unhideWhenUsed/>
    <w:rsid w:val="00EC5F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C5F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C5F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C5F9F"/>
    <w:rPr>
      <w:rFonts w:ascii="Arial" w:eastAsia="Times New Roman" w:hAnsi="Arial" w:cs="Arial"/>
      <w:vanish/>
      <w:sz w:val="16"/>
      <w:szCs w:val="16"/>
      <w:lang w:eastAsia="en-GB"/>
    </w:rPr>
  </w:style>
  <w:style w:type="table" w:styleId="TableGrid">
    <w:name w:val="Table Grid"/>
    <w:basedOn w:val="TableNormal"/>
    <w:uiPriority w:val="59"/>
    <w:rsid w:val="00EC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2EB2"/>
    <w:rPr>
      <w:b/>
      <w:bCs/>
    </w:rPr>
  </w:style>
  <w:style w:type="character" w:styleId="FollowedHyperlink">
    <w:name w:val="FollowedHyperlink"/>
    <w:basedOn w:val="DefaultParagraphFont"/>
    <w:uiPriority w:val="99"/>
    <w:semiHidden/>
    <w:unhideWhenUsed/>
    <w:rsid w:val="003E0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712">
      <w:bodyDiv w:val="1"/>
      <w:marLeft w:val="0"/>
      <w:marRight w:val="0"/>
      <w:marTop w:val="0"/>
      <w:marBottom w:val="0"/>
      <w:divBdr>
        <w:top w:val="none" w:sz="0" w:space="0" w:color="auto"/>
        <w:left w:val="none" w:sz="0" w:space="0" w:color="auto"/>
        <w:bottom w:val="none" w:sz="0" w:space="0" w:color="auto"/>
        <w:right w:val="none" w:sz="0" w:space="0" w:color="auto"/>
      </w:divBdr>
    </w:div>
    <w:div w:id="181362776">
      <w:bodyDiv w:val="1"/>
      <w:marLeft w:val="0"/>
      <w:marRight w:val="0"/>
      <w:marTop w:val="0"/>
      <w:marBottom w:val="0"/>
      <w:divBdr>
        <w:top w:val="none" w:sz="0" w:space="0" w:color="auto"/>
        <w:left w:val="none" w:sz="0" w:space="0" w:color="auto"/>
        <w:bottom w:val="none" w:sz="0" w:space="0" w:color="auto"/>
        <w:right w:val="none" w:sz="0" w:space="0" w:color="auto"/>
      </w:divBdr>
    </w:div>
    <w:div w:id="229582907">
      <w:bodyDiv w:val="1"/>
      <w:marLeft w:val="0"/>
      <w:marRight w:val="0"/>
      <w:marTop w:val="0"/>
      <w:marBottom w:val="0"/>
      <w:divBdr>
        <w:top w:val="none" w:sz="0" w:space="0" w:color="auto"/>
        <w:left w:val="none" w:sz="0" w:space="0" w:color="auto"/>
        <w:bottom w:val="none" w:sz="0" w:space="0" w:color="auto"/>
        <w:right w:val="none" w:sz="0" w:space="0" w:color="auto"/>
      </w:divBdr>
    </w:div>
    <w:div w:id="315576300">
      <w:bodyDiv w:val="1"/>
      <w:marLeft w:val="0"/>
      <w:marRight w:val="0"/>
      <w:marTop w:val="0"/>
      <w:marBottom w:val="0"/>
      <w:divBdr>
        <w:top w:val="none" w:sz="0" w:space="0" w:color="auto"/>
        <w:left w:val="none" w:sz="0" w:space="0" w:color="auto"/>
        <w:bottom w:val="none" w:sz="0" w:space="0" w:color="auto"/>
        <w:right w:val="none" w:sz="0" w:space="0" w:color="auto"/>
      </w:divBdr>
    </w:div>
    <w:div w:id="336546443">
      <w:bodyDiv w:val="1"/>
      <w:marLeft w:val="0"/>
      <w:marRight w:val="0"/>
      <w:marTop w:val="0"/>
      <w:marBottom w:val="0"/>
      <w:divBdr>
        <w:top w:val="none" w:sz="0" w:space="0" w:color="auto"/>
        <w:left w:val="none" w:sz="0" w:space="0" w:color="auto"/>
        <w:bottom w:val="none" w:sz="0" w:space="0" w:color="auto"/>
        <w:right w:val="none" w:sz="0" w:space="0" w:color="auto"/>
      </w:divBdr>
    </w:div>
    <w:div w:id="506482783">
      <w:bodyDiv w:val="1"/>
      <w:marLeft w:val="0"/>
      <w:marRight w:val="0"/>
      <w:marTop w:val="0"/>
      <w:marBottom w:val="0"/>
      <w:divBdr>
        <w:top w:val="none" w:sz="0" w:space="0" w:color="auto"/>
        <w:left w:val="none" w:sz="0" w:space="0" w:color="auto"/>
        <w:bottom w:val="none" w:sz="0" w:space="0" w:color="auto"/>
        <w:right w:val="none" w:sz="0" w:space="0" w:color="auto"/>
      </w:divBdr>
      <w:divsChild>
        <w:div w:id="2044404576">
          <w:marLeft w:val="0"/>
          <w:marRight w:val="0"/>
          <w:marTop w:val="0"/>
          <w:marBottom w:val="0"/>
          <w:divBdr>
            <w:top w:val="none" w:sz="0" w:space="0" w:color="auto"/>
            <w:left w:val="none" w:sz="0" w:space="0" w:color="auto"/>
            <w:bottom w:val="none" w:sz="0" w:space="0" w:color="auto"/>
            <w:right w:val="none" w:sz="0" w:space="0" w:color="auto"/>
          </w:divBdr>
        </w:div>
      </w:divsChild>
    </w:div>
    <w:div w:id="1013650446">
      <w:bodyDiv w:val="1"/>
      <w:marLeft w:val="0"/>
      <w:marRight w:val="0"/>
      <w:marTop w:val="0"/>
      <w:marBottom w:val="0"/>
      <w:divBdr>
        <w:top w:val="none" w:sz="0" w:space="0" w:color="auto"/>
        <w:left w:val="none" w:sz="0" w:space="0" w:color="auto"/>
        <w:bottom w:val="none" w:sz="0" w:space="0" w:color="auto"/>
        <w:right w:val="none" w:sz="0" w:space="0" w:color="auto"/>
      </w:divBdr>
    </w:div>
    <w:div w:id="1101143007">
      <w:bodyDiv w:val="1"/>
      <w:marLeft w:val="0"/>
      <w:marRight w:val="0"/>
      <w:marTop w:val="0"/>
      <w:marBottom w:val="0"/>
      <w:divBdr>
        <w:top w:val="none" w:sz="0" w:space="0" w:color="auto"/>
        <w:left w:val="none" w:sz="0" w:space="0" w:color="auto"/>
        <w:bottom w:val="none" w:sz="0" w:space="0" w:color="auto"/>
        <w:right w:val="none" w:sz="0" w:space="0" w:color="auto"/>
      </w:divBdr>
    </w:div>
    <w:div w:id="1487823778">
      <w:bodyDiv w:val="1"/>
      <w:marLeft w:val="0"/>
      <w:marRight w:val="0"/>
      <w:marTop w:val="0"/>
      <w:marBottom w:val="0"/>
      <w:divBdr>
        <w:top w:val="none" w:sz="0" w:space="0" w:color="auto"/>
        <w:left w:val="none" w:sz="0" w:space="0" w:color="auto"/>
        <w:bottom w:val="none" w:sz="0" w:space="0" w:color="auto"/>
        <w:right w:val="none" w:sz="0" w:space="0" w:color="auto"/>
      </w:divBdr>
    </w:div>
    <w:div w:id="1767530548">
      <w:bodyDiv w:val="1"/>
      <w:marLeft w:val="0"/>
      <w:marRight w:val="0"/>
      <w:marTop w:val="0"/>
      <w:marBottom w:val="0"/>
      <w:divBdr>
        <w:top w:val="none" w:sz="0" w:space="0" w:color="auto"/>
        <w:left w:val="none" w:sz="0" w:space="0" w:color="auto"/>
        <w:bottom w:val="none" w:sz="0" w:space="0" w:color="auto"/>
        <w:right w:val="none" w:sz="0" w:space="0" w:color="auto"/>
      </w:divBdr>
    </w:div>
    <w:div w:id="1904366149">
      <w:bodyDiv w:val="1"/>
      <w:marLeft w:val="0"/>
      <w:marRight w:val="0"/>
      <w:marTop w:val="0"/>
      <w:marBottom w:val="0"/>
      <w:divBdr>
        <w:top w:val="none" w:sz="0" w:space="0" w:color="auto"/>
        <w:left w:val="none" w:sz="0" w:space="0" w:color="auto"/>
        <w:bottom w:val="none" w:sz="0" w:space="0" w:color="auto"/>
        <w:right w:val="none" w:sz="0" w:space="0" w:color="auto"/>
      </w:divBdr>
    </w:div>
    <w:div w:id="19573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what-we-do/our-work/understanding-health-and-disease" TargetMode="External"/><Relationship Id="rId13" Type="http://schemas.openxmlformats.org/officeDocument/2006/relationships/hyperlink" Target="https://intranet.birmingham.ac.uk/eps/research-support/Research-Support-team/research-suppor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arts-law/i/rkt/research-support.aspx" TargetMode="External"/><Relationship Id="rId17" Type="http://schemas.openxmlformats.org/officeDocument/2006/relationships/hyperlink" Target="mailto:wellcomeissf@contacts.bham.ac.uk" TargetMode="External"/><Relationship Id="rId2" Type="http://schemas.openxmlformats.org/officeDocument/2006/relationships/numbering" Target="numbering.xml"/><Relationship Id="rId16" Type="http://schemas.openxmlformats.org/officeDocument/2006/relationships/hyperlink" Target="https://intranet.birmingham.ac.uk/social-sciences/college-services/crso/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finance/ris/research-funding/Internal-Funding.aspx" TargetMode="External"/><Relationship Id="rId5" Type="http://schemas.openxmlformats.org/officeDocument/2006/relationships/webSettings" Target="webSettings.xml"/><Relationship Id="rId15" Type="http://schemas.openxmlformats.org/officeDocument/2006/relationships/hyperlink" Target="https://intranet.birmingham.ac.uk/mds/college-services/rkto/contact.aspx" TargetMode="External"/><Relationship Id="rId10" Type="http://schemas.openxmlformats.org/officeDocument/2006/relationships/hyperlink" Target="https://intranet.birmingham.ac.uk/finance/RSS/research-development/internal-funding.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finance/RSS/research-development/internal-funding.aspx" TargetMode="External"/><Relationship Id="rId14" Type="http://schemas.openxmlformats.org/officeDocument/2006/relationships/hyperlink" Target="https://intranet.birmingham.ac.uk/les/college-services/crso/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88B8-55F1-4ABA-ADF6-F97F5670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Marston</dc:creator>
  <cp:lastModifiedBy>Lucy Caton (Strategic Research Development)</cp:lastModifiedBy>
  <cp:revision>2</cp:revision>
  <cp:lastPrinted>2018-04-24T11:23:00Z</cp:lastPrinted>
  <dcterms:created xsi:type="dcterms:W3CDTF">2020-09-10T08:44:00Z</dcterms:created>
  <dcterms:modified xsi:type="dcterms:W3CDTF">2020-09-10T08:44:00Z</dcterms:modified>
</cp:coreProperties>
</file>