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2A" w:rsidRPr="00470ACA" w:rsidRDefault="0021532A" w:rsidP="00470ACA">
      <w:pPr>
        <w:pStyle w:val="Heading1"/>
        <w:spacing w:before="0" w:line="240" w:lineRule="auto"/>
        <w:jc w:val="both"/>
        <w:rPr>
          <w:rFonts w:asciiTheme="minorHAnsi" w:hAnsiTheme="minorHAnsi" w:cstheme="minorHAnsi"/>
          <w:sz w:val="21"/>
          <w:szCs w:val="21"/>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598"/>
      </w:tblGrid>
      <w:tr w:rsidR="009C5D1C" w:rsidRPr="00470ACA" w:rsidTr="009C5D1C">
        <w:tc>
          <w:tcPr>
            <w:tcW w:w="10598" w:type="dxa"/>
            <w:shd w:val="clear" w:color="auto" w:fill="BFBFBF" w:themeFill="background1" w:themeFillShade="BF"/>
          </w:tcPr>
          <w:p w:rsidR="009C5D1C" w:rsidRPr="00470ACA" w:rsidRDefault="009C5D1C" w:rsidP="00FF7E24">
            <w:pPr>
              <w:jc w:val="center"/>
              <w:rPr>
                <w:b/>
                <w:sz w:val="28"/>
                <w:szCs w:val="28"/>
              </w:rPr>
            </w:pPr>
            <w:r w:rsidRPr="00470ACA">
              <w:rPr>
                <w:b/>
                <w:sz w:val="28"/>
                <w:szCs w:val="28"/>
              </w:rPr>
              <w:t xml:space="preserve">Guidance </w:t>
            </w:r>
            <w:r w:rsidR="00935089">
              <w:rPr>
                <w:b/>
                <w:sz w:val="28"/>
                <w:szCs w:val="28"/>
              </w:rPr>
              <w:t xml:space="preserve">for the MRC </w:t>
            </w:r>
            <w:proofErr w:type="spellStart"/>
            <w:r w:rsidR="00935089">
              <w:rPr>
                <w:b/>
                <w:sz w:val="28"/>
                <w:szCs w:val="28"/>
              </w:rPr>
              <w:t>CiC</w:t>
            </w:r>
            <w:proofErr w:type="spellEnd"/>
            <w:r w:rsidR="00935089">
              <w:rPr>
                <w:b/>
                <w:sz w:val="28"/>
                <w:szCs w:val="28"/>
              </w:rPr>
              <w:t xml:space="preserve"> Fund </w:t>
            </w:r>
            <w:r w:rsidRPr="00470ACA">
              <w:rPr>
                <w:b/>
                <w:sz w:val="28"/>
                <w:szCs w:val="28"/>
              </w:rPr>
              <w:t>201</w:t>
            </w:r>
            <w:r w:rsidR="00FF7E24">
              <w:rPr>
                <w:b/>
                <w:sz w:val="28"/>
                <w:szCs w:val="28"/>
              </w:rPr>
              <w:t>6/17</w:t>
            </w:r>
          </w:p>
        </w:tc>
      </w:tr>
    </w:tbl>
    <w:p w:rsidR="009C5D1C" w:rsidRPr="00470ACA" w:rsidRDefault="009C5D1C" w:rsidP="00470ACA">
      <w:pPr>
        <w:pStyle w:val="Heading2"/>
        <w:spacing w:before="0" w:line="240" w:lineRule="auto"/>
        <w:rPr>
          <w:rFonts w:asciiTheme="minorHAnsi" w:hAnsiTheme="minorHAnsi" w:cstheme="minorHAnsi"/>
          <w:color w:val="auto"/>
          <w:sz w:val="21"/>
          <w:szCs w:val="21"/>
          <w:u w:val="single"/>
        </w:rPr>
      </w:pPr>
    </w:p>
    <w:p w:rsidR="001E32FF" w:rsidRPr="00470ACA" w:rsidRDefault="001E32FF"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Background</w:t>
      </w:r>
    </w:p>
    <w:p w:rsidR="00AD0033" w:rsidRPr="00470ACA" w:rsidRDefault="00AD0033"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Ensuring that fundamental science is translated into new therapies, diagnostics and medical devices is central to the MRC’s mission. The Confidence in Concept scheme aims to accelerate the transition from discovery science to the early stages of therapeutic/diagnostic development by providing locally-administered, responsive and flexible funding to support preliminary translational work. The projects supported should aim to provide sufficient preliminary data to establish the viability of an approach – i.e. to provide confidence in the underlying concept – before seeking more substantive funding (e.g. fro</w:t>
      </w:r>
      <w:r w:rsidR="00C04DF3">
        <w:rPr>
          <w:rFonts w:asciiTheme="minorHAnsi" w:eastAsiaTheme="minorHAnsi" w:hAnsiTheme="minorHAnsi" w:cstheme="minorHAnsi"/>
          <w:b w:val="0"/>
          <w:bCs w:val="0"/>
          <w:color w:val="auto"/>
          <w:sz w:val="21"/>
          <w:szCs w:val="21"/>
          <w:lang w:val="en-US"/>
        </w:rPr>
        <w:t xml:space="preserve">m </w:t>
      </w:r>
      <w:hyperlink r:id="rId8" w:history="1">
        <w:r w:rsidR="00C04DF3" w:rsidRPr="00C04DF3">
          <w:rPr>
            <w:rStyle w:val="Hyperlink"/>
            <w:rFonts w:asciiTheme="minorHAnsi" w:eastAsiaTheme="minorHAnsi" w:hAnsiTheme="minorHAnsi" w:cstheme="minorHAnsi"/>
            <w:b w:val="0"/>
            <w:bCs w:val="0"/>
            <w:i/>
            <w:sz w:val="21"/>
            <w:szCs w:val="21"/>
          </w:rPr>
          <w:t>MRC DPFS</w:t>
        </w:r>
      </w:hyperlink>
      <w:r w:rsidR="00C04DF3" w:rsidRPr="00C04DF3">
        <w:rPr>
          <w:rFonts w:asciiTheme="minorHAnsi" w:eastAsiaTheme="minorHAnsi" w:hAnsiTheme="minorHAnsi" w:cstheme="minorHAnsi"/>
          <w:b w:val="0"/>
          <w:bCs w:val="0"/>
          <w:i/>
          <w:color w:val="auto"/>
          <w:sz w:val="21"/>
          <w:szCs w:val="21"/>
        </w:rPr>
        <w:t xml:space="preserve"> and the wider </w:t>
      </w:r>
      <w:hyperlink r:id="rId9" w:history="1">
        <w:r w:rsidR="00C04DF3" w:rsidRPr="00C04DF3">
          <w:rPr>
            <w:rStyle w:val="Hyperlink"/>
            <w:rFonts w:asciiTheme="minorHAnsi" w:eastAsiaTheme="minorHAnsi" w:hAnsiTheme="minorHAnsi" w:cstheme="minorHAnsi"/>
            <w:b w:val="0"/>
            <w:bCs w:val="0"/>
            <w:i/>
            <w:sz w:val="21"/>
            <w:szCs w:val="21"/>
          </w:rPr>
          <w:t>Biomedical Catalyst</w:t>
        </w:r>
      </w:hyperlink>
      <w:r w:rsidR="00C04DF3" w:rsidRPr="00C04DF3">
        <w:rPr>
          <w:rFonts w:asciiTheme="minorHAnsi" w:eastAsiaTheme="minorHAnsi" w:hAnsiTheme="minorHAnsi" w:cstheme="minorHAnsi"/>
          <w:b w:val="0"/>
          <w:bCs w:val="0"/>
          <w:i/>
          <w:color w:val="auto"/>
          <w:sz w:val="21"/>
          <w:szCs w:val="21"/>
        </w:rPr>
        <w:t xml:space="preserve">, </w:t>
      </w:r>
      <w:hyperlink r:id="rId10" w:history="1">
        <w:proofErr w:type="spellStart"/>
        <w:r w:rsidR="00C04DF3" w:rsidRPr="00C04DF3">
          <w:rPr>
            <w:rStyle w:val="Hyperlink"/>
            <w:rFonts w:asciiTheme="minorHAnsi" w:eastAsiaTheme="minorHAnsi" w:hAnsiTheme="minorHAnsi" w:cstheme="minorHAnsi"/>
            <w:b w:val="0"/>
            <w:bCs w:val="0"/>
            <w:i/>
            <w:sz w:val="21"/>
            <w:szCs w:val="21"/>
          </w:rPr>
          <w:t>Wellcome</w:t>
        </w:r>
        <w:proofErr w:type="spellEnd"/>
        <w:r w:rsidR="00C04DF3" w:rsidRPr="00C04DF3">
          <w:rPr>
            <w:rStyle w:val="Hyperlink"/>
            <w:rFonts w:asciiTheme="minorHAnsi" w:eastAsiaTheme="minorHAnsi" w:hAnsiTheme="minorHAnsi" w:cstheme="minorHAnsi"/>
            <w:b w:val="0"/>
            <w:bCs w:val="0"/>
            <w:i/>
            <w:sz w:val="21"/>
            <w:szCs w:val="21"/>
          </w:rPr>
          <w:t xml:space="preserve"> Trust Translation Fund</w:t>
        </w:r>
      </w:hyperlink>
      <w:r w:rsidR="00C04DF3" w:rsidRPr="00C04DF3">
        <w:rPr>
          <w:rFonts w:asciiTheme="minorHAnsi" w:eastAsiaTheme="minorHAnsi" w:hAnsiTheme="minorHAnsi" w:cstheme="minorHAnsi"/>
          <w:b w:val="0"/>
          <w:bCs w:val="0"/>
          <w:i/>
          <w:color w:val="auto"/>
          <w:sz w:val="21"/>
          <w:szCs w:val="21"/>
        </w:rPr>
        <w:t xml:space="preserve"> or </w:t>
      </w:r>
      <w:hyperlink r:id="rId11" w:history="1">
        <w:r w:rsidR="00C04DF3" w:rsidRPr="00C04DF3">
          <w:rPr>
            <w:rStyle w:val="Hyperlink"/>
            <w:rFonts w:asciiTheme="minorHAnsi" w:eastAsiaTheme="minorHAnsi" w:hAnsiTheme="minorHAnsi" w:cstheme="minorHAnsi"/>
            <w:b w:val="0"/>
            <w:bCs w:val="0"/>
            <w:i/>
            <w:sz w:val="21"/>
            <w:szCs w:val="21"/>
          </w:rPr>
          <w:t>NIHR i4i</w:t>
        </w:r>
      </w:hyperlink>
      <w:r w:rsidRPr="00470ACA">
        <w:rPr>
          <w:rFonts w:asciiTheme="minorHAnsi" w:eastAsiaTheme="minorHAnsi" w:hAnsiTheme="minorHAnsi" w:cstheme="minorHAnsi"/>
          <w:b w:val="0"/>
          <w:bCs w:val="0"/>
          <w:color w:val="auto"/>
          <w:sz w:val="21"/>
          <w:szCs w:val="21"/>
          <w:lang w:val="en-US"/>
        </w:rPr>
        <w:t>).</w:t>
      </w:r>
    </w:p>
    <w:p w:rsidR="00AD0033" w:rsidRPr="00470ACA" w:rsidRDefault="00AD0033" w:rsidP="00470ACA">
      <w:pPr>
        <w:pStyle w:val="Heading2"/>
        <w:spacing w:before="0" w:line="240" w:lineRule="auto"/>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t xml:space="preserve"> </w:t>
      </w:r>
    </w:p>
    <w:p w:rsidR="00AD0033" w:rsidRPr="00470ACA" w:rsidRDefault="00A75583"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Pr>
          <w:rFonts w:asciiTheme="minorHAnsi" w:eastAsiaTheme="minorHAnsi" w:hAnsiTheme="minorHAnsi" w:cstheme="minorHAnsi"/>
          <w:b w:val="0"/>
          <w:bCs w:val="0"/>
          <w:color w:val="auto"/>
          <w:sz w:val="21"/>
          <w:szCs w:val="21"/>
          <w:lang w:val="en-US"/>
        </w:rPr>
        <w:t>A</w:t>
      </w:r>
      <w:r w:rsidR="00A20838" w:rsidRPr="00470ACA">
        <w:rPr>
          <w:rFonts w:asciiTheme="minorHAnsi" w:eastAsiaTheme="minorHAnsi" w:hAnsiTheme="minorHAnsi" w:cstheme="minorHAnsi"/>
          <w:b w:val="0"/>
          <w:bCs w:val="0"/>
          <w:color w:val="auto"/>
          <w:sz w:val="21"/>
          <w:szCs w:val="21"/>
          <w:lang w:val="en-US"/>
        </w:rPr>
        <w:t>ll disease areas (including those relevant to global health) and modalities of intervention are eligible for support from the scheme, including small molecules, peptides, antibodies, vaccines, gene therapy, devices, surgical techniques and engineering/medical technology, bioinformatics and psychological approaches.</w:t>
      </w:r>
      <w:r w:rsidR="00DE5C60" w:rsidRPr="00470ACA">
        <w:rPr>
          <w:rFonts w:asciiTheme="minorHAnsi" w:eastAsiaTheme="minorHAnsi" w:hAnsiTheme="minorHAnsi" w:cstheme="minorHAnsi"/>
          <w:b w:val="0"/>
          <w:bCs w:val="0"/>
          <w:color w:val="auto"/>
          <w:sz w:val="21"/>
          <w:szCs w:val="21"/>
          <w:lang w:val="en-US"/>
        </w:rPr>
        <w:t xml:space="preserve"> We therefore </w:t>
      </w:r>
      <w:r w:rsidR="0062173B" w:rsidRPr="00470ACA">
        <w:rPr>
          <w:rFonts w:asciiTheme="minorHAnsi" w:eastAsiaTheme="minorHAnsi" w:hAnsiTheme="minorHAnsi" w:cstheme="minorHAnsi"/>
          <w:b w:val="0"/>
          <w:bCs w:val="0"/>
          <w:color w:val="auto"/>
          <w:sz w:val="21"/>
          <w:szCs w:val="21"/>
          <w:lang w:val="en-US"/>
        </w:rPr>
        <w:t>encourage</w:t>
      </w:r>
      <w:r w:rsidR="00DE5C60" w:rsidRPr="00470ACA">
        <w:rPr>
          <w:rFonts w:asciiTheme="minorHAnsi" w:eastAsiaTheme="minorHAnsi" w:hAnsiTheme="minorHAnsi" w:cstheme="minorHAnsi"/>
          <w:b w:val="0"/>
          <w:bCs w:val="0"/>
          <w:color w:val="auto"/>
          <w:sz w:val="21"/>
          <w:szCs w:val="21"/>
          <w:lang w:val="en-US"/>
        </w:rPr>
        <w:t xml:space="preserve"> applications from across the Colleges of MDS, LES and EPS, and are particularly keen on interdisciplinary collaborative approaches. Teams that actively involve clinicians from partner NHS Trust</w:t>
      </w:r>
      <w:r w:rsidR="00C04DF3">
        <w:rPr>
          <w:rFonts w:asciiTheme="minorHAnsi" w:eastAsiaTheme="minorHAnsi" w:hAnsiTheme="minorHAnsi" w:cstheme="minorHAnsi"/>
          <w:b w:val="0"/>
          <w:bCs w:val="0"/>
          <w:color w:val="auto"/>
          <w:sz w:val="21"/>
          <w:szCs w:val="21"/>
          <w:lang w:val="en-US"/>
        </w:rPr>
        <w:t>s</w:t>
      </w:r>
      <w:r w:rsidR="00DE5C60" w:rsidRPr="00470ACA">
        <w:rPr>
          <w:rFonts w:asciiTheme="minorHAnsi" w:eastAsiaTheme="minorHAnsi" w:hAnsiTheme="minorHAnsi" w:cstheme="minorHAnsi"/>
          <w:b w:val="0"/>
          <w:bCs w:val="0"/>
          <w:color w:val="auto"/>
          <w:sz w:val="21"/>
          <w:szCs w:val="21"/>
          <w:lang w:val="en-US"/>
        </w:rPr>
        <w:t xml:space="preserve"> (particularly Birmingham Health Partners) are also welcome.</w:t>
      </w:r>
    </w:p>
    <w:p w:rsidR="00D51C46" w:rsidRPr="00470ACA" w:rsidRDefault="00AD0033" w:rsidP="00470ACA">
      <w:pPr>
        <w:pStyle w:val="Heading2"/>
        <w:spacing w:before="0" w:line="240" w:lineRule="auto"/>
        <w:rPr>
          <w:sz w:val="21"/>
          <w:szCs w:val="21"/>
          <w:lang w:val="en-US"/>
        </w:rPr>
      </w:pPr>
      <w:r w:rsidRPr="00470ACA">
        <w:rPr>
          <w:rFonts w:asciiTheme="minorHAnsi" w:eastAsiaTheme="minorHAnsi" w:hAnsiTheme="minorHAnsi" w:cstheme="minorHAnsi"/>
          <w:b w:val="0"/>
          <w:bCs w:val="0"/>
          <w:color w:val="auto"/>
          <w:sz w:val="21"/>
          <w:szCs w:val="21"/>
          <w:lang w:val="en-US"/>
        </w:rPr>
        <w:t xml:space="preserve"> </w:t>
      </w:r>
    </w:p>
    <w:p w:rsidR="000F7685" w:rsidRPr="00470ACA" w:rsidRDefault="000F7685" w:rsidP="00E21ECE">
      <w:pPr>
        <w:pStyle w:val="Heading3"/>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Application process</w:t>
      </w:r>
    </w:p>
    <w:p w:rsidR="000F7685" w:rsidRDefault="00787EB0" w:rsidP="00E21ECE">
      <w:pPr>
        <w:spacing w:after="0" w:line="240" w:lineRule="auto"/>
        <w:jc w:val="both"/>
        <w:rPr>
          <w:sz w:val="21"/>
          <w:szCs w:val="21"/>
        </w:rPr>
      </w:pPr>
      <w:r>
        <w:rPr>
          <w:sz w:val="21"/>
          <w:szCs w:val="21"/>
        </w:rPr>
        <w:t xml:space="preserve">The call for applications </w:t>
      </w:r>
      <w:r w:rsidR="000F7685" w:rsidRPr="00470ACA">
        <w:rPr>
          <w:sz w:val="21"/>
          <w:szCs w:val="21"/>
        </w:rPr>
        <w:t xml:space="preserve">will </w:t>
      </w:r>
      <w:r>
        <w:rPr>
          <w:sz w:val="21"/>
          <w:szCs w:val="21"/>
        </w:rPr>
        <w:t xml:space="preserve">consist of two </w:t>
      </w:r>
      <w:r w:rsidR="000F7685" w:rsidRPr="00470ACA">
        <w:rPr>
          <w:sz w:val="21"/>
          <w:szCs w:val="21"/>
        </w:rPr>
        <w:t>stage</w:t>
      </w:r>
      <w:r>
        <w:rPr>
          <w:sz w:val="21"/>
          <w:szCs w:val="21"/>
        </w:rPr>
        <w:t>s</w:t>
      </w:r>
      <w:r w:rsidR="000F7685" w:rsidRPr="00470ACA">
        <w:rPr>
          <w:sz w:val="21"/>
          <w:szCs w:val="21"/>
        </w:rPr>
        <w:t xml:space="preserve"> – Expression of Interest (</w:t>
      </w:r>
      <w:proofErr w:type="spellStart"/>
      <w:r w:rsidR="000F7685" w:rsidRPr="00470ACA">
        <w:rPr>
          <w:sz w:val="21"/>
          <w:szCs w:val="21"/>
        </w:rPr>
        <w:t>EoI</w:t>
      </w:r>
      <w:proofErr w:type="spellEnd"/>
      <w:r w:rsidR="000F7685" w:rsidRPr="00470ACA">
        <w:rPr>
          <w:sz w:val="21"/>
          <w:szCs w:val="21"/>
        </w:rPr>
        <w:t>) and full-stage for shortlisted projects – to ensure that sufficient input is given to the design of robust translational projects with a high likelihood of delivering significant outcomes.</w:t>
      </w:r>
      <w:r>
        <w:rPr>
          <w:sz w:val="21"/>
          <w:szCs w:val="21"/>
        </w:rPr>
        <w:t xml:space="preserve"> Depending on the level of funding awarded in this call, there may be a further call </w:t>
      </w:r>
    </w:p>
    <w:p w:rsidR="000F7685" w:rsidRPr="00470ACA" w:rsidRDefault="000F7685" w:rsidP="000F7685">
      <w:pPr>
        <w:spacing w:after="0" w:line="240" w:lineRule="auto"/>
        <w:rPr>
          <w:sz w:val="21"/>
          <w:szCs w:val="21"/>
        </w:rPr>
      </w:pPr>
    </w:p>
    <w:tbl>
      <w:tblPr>
        <w:tblStyle w:val="TableGrid"/>
        <w:tblW w:w="10598" w:type="dxa"/>
        <w:tblLook w:val="04A0" w:firstRow="1" w:lastRow="0" w:firstColumn="1" w:lastColumn="0" w:noHBand="0" w:noVBand="1"/>
      </w:tblPr>
      <w:tblGrid>
        <w:gridCol w:w="2649"/>
        <w:gridCol w:w="2650"/>
        <w:gridCol w:w="2649"/>
        <w:gridCol w:w="2650"/>
      </w:tblGrid>
      <w:tr w:rsidR="004313F3" w:rsidRPr="00470ACA" w:rsidTr="004313F3">
        <w:tc>
          <w:tcPr>
            <w:tcW w:w="2649" w:type="dxa"/>
            <w:shd w:val="clear" w:color="auto" w:fill="D9D9D9" w:themeFill="background1" w:themeFillShade="D9"/>
          </w:tcPr>
          <w:p w:rsidR="004313F3" w:rsidRPr="00470ACA" w:rsidRDefault="004313F3" w:rsidP="001E0861">
            <w:pPr>
              <w:rPr>
                <w:sz w:val="21"/>
                <w:szCs w:val="21"/>
              </w:rPr>
            </w:pPr>
            <w:proofErr w:type="spellStart"/>
            <w:r w:rsidRPr="00470ACA">
              <w:rPr>
                <w:sz w:val="21"/>
                <w:szCs w:val="21"/>
              </w:rPr>
              <w:t>EoI</w:t>
            </w:r>
            <w:proofErr w:type="spellEnd"/>
            <w:r w:rsidRPr="00470ACA">
              <w:rPr>
                <w:sz w:val="21"/>
                <w:szCs w:val="21"/>
              </w:rPr>
              <w:t xml:space="preserve"> deadline</w:t>
            </w:r>
          </w:p>
        </w:tc>
        <w:tc>
          <w:tcPr>
            <w:tcW w:w="2650" w:type="dxa"/>
            <w:shd w:val="clear" w:color="auto" w:fill="D9D9D9" w:themeFill="background1" w:themeFillShade="D9"/>
          </w:tcPr>
          <w:p w:rsidR="004313F3" w:rsidRPr="00470ACA" w:rsidRDefault="004313F3" w:rsidP="001E0861">
            <w:pPr>
              <w:rPr>
                <w:sz w:val="21"/>
                <w:szCs w:val="21"/>
              </w:rPr>
            </w:pPr>
            <w:r w:rsidRPr="00470ACA">
              <w:rPr>
                <w:sz w:val="21"/>
                <w:szCs w:val="21"/>
              </w:rPr>
              <w:t>Shortlist notification</w:t>
            </w:r>
          </w:p>
        </w:tc>
        <w:tc>
          <w:tcPr>
            <w:tcW w:w="2649" w:type="dxa"/>
            <w:shd w:val="clear" w:color="auto" w:fill="D9D9D9" w:themeFill="background1" w:themeFillShade="D9"/>
          </w:tcPr>
          <w:p w:rsidR="004313F3" w:rsidRPr="00470ACA" w:rsidRDefault="004313F3" w:rsidP="001E0861">
            <w:pPr>
              <w:rPr>
                <w:sz w:val="21"/>
                <w:szCs w:val="21"/>
              </w:rPr>
            </w:pPr>
            <w:r w:rsidRPr="00470ACA">
              <w:rPr>
                <w:sz w:val="21"/>
                <w:szCs w:val="21"/>
              </w:rPr>
              <w:t>Full-stage deadline</w:t>
            </w:r>
          </w:p>
        </w:tc>
        <w:tc>
          <w:tcPr>
            <w:tcW w:w="2650" w:type="dxa"/>
            <w:shd w:val="clear" w:color="auto" w:fill="D9D9D9" w:themeFill="background1" w:themeFillShade="D9"/>
          </w:tcPr>
          <w:p w:rsidR="004313F3" w:rsidRPr="00470ACA" w:rsidRDefault="004313F3" w:rsidP="001E0861">
            <w:pPr>
              <w:rPr>
                <w:sz w:val="21"/>
                <w:szCs w:val="21"/>
              </w:rPr>
            </w:pPr>
            <w:r w:rsidRPr="00470ACA">
              <w:rPr>
                <w:sz w:val="21"/>
                <w:szCs w:val="21"/>
              </w:rPr>
              <w:t>Funding decision</w:t>
            </w:r>
          </w:p>
        </w:tc>
      </w:tr>
      <w:tr w:rsidR="004313F3" w:rsidRPr="00470ACA" w:rsidTr="004313F3">
        <w:tc>
          <w:tcPr>
            <w:tcW w:w="2649" w:type="dxa"/>
          </w:tcPr>
          <w:p w:rsidR="004313F3" w:rsidRPr="007B64BB" w:rsidRDefault="0092202E" w:rsidP="007C195E">
            <w:pPr>
              <w:rPr>
                <w:sz w:val="21"/>
                <w:szCs w:val="21"/>
              </w:rPr>
            </w:pPr>
            <w:r w:rsidRPr="007B64BB">
              <w:rPr>
                <w:sz w:val="21"/>
                <w:szCs w:val="21"/>
              </w:rPr>
              <w:t>1pm Fri 14</w:t>
            </w:r>
            <w:r w:rsidR="007C195E" w:rsidRPr="007B64BB">
              <w:rPr>
                <w:sz w:val="21"/>
                <w:szCs w:val="21"/>
              </w:rPr>
              <w:t>th</w:t>
            </w:r>
            <w:r w:rsidR="004313F3" w:rsidRPr="007B64BB">
              <w:rPr>
                <w:sz w:val="21"/>
                <w:szCs w:val="21"/>
              </w:rPr>
              <w:t xml:space="preserve"> </w:t>
            </w:r>
            <w:r w:rsidR="007C195E" w:rsidRPr="007B64BB">
              <w:rPr>
                <w:sz w:val="21"/>
                <w:szCs w:val="21"/>
              </w:rPr>
              <w:t>Oct</w:t>
            </w:r>
            <w:r w:rsidR="004313F3" w:rsidRPr="007B64BB">
              <w:rPr>
                <w:sz w:val="21"/>
                <w:szCs w:val="21"/>
              </w:rPr>
              <w:t xml:space="preserve"> 2016</w:t>
            </w:r>
          </w:p>
        </w:tc>
        <w:tc>
          <w:tcPr>
            <w:tcW w:w="2650" w:type="dxa"/>
          </w:tcPr>
          <w:p w:rsidR="004313F3" w:rsidRPr="007B64BB" w:rsidRDefault="004313F3" w:rsidP="007C195E">
            <w:pPr>
              <w:rPr>
                <w:sz w:val="21"/>
                <w:szCs w:val="21"/>
              </w:rPr>
            </w:pPr>
            <w:r w:rsidRPr="007B64BB">
              <w:rPr>
                <w:sz w:val="21"/>
                <w:szCs w:val="21"/>
              </w:rPr>
              <w:t xml:space="preserve">Fri </w:t>
            </w:r>
            <w:r w:rsidR="007C195E" w:rsidRPr="007B64BB">
              <w:rPr>
                <w:sz w:val="21"/>
                <w:szCs w:val="21"/>
              </w:rPr>
              <w:t>28th</w:t>
            </w:r>
            <w:r w:rsidRPr="007B64BB">
              <w:rPr>
                <w:sz w:val="21"/>
                <w:szCs w:val="21"/>
              </w:rPr>
              <w:t xml:space="preserve"> </w:t>
            </w:r>
            <w:r w:rsidR="007C195E" w:rsidRPr="007B64BB">
              <w:rPr>
                <w:sz w:val="21"/>
                <w:szCs w:val="21"/>
              </w:rPr>
              <w:t>Oct</w:t>
            </w:r>
            <w:r w:rsidRPr="007B64BB">
              <w:rPr>
                <w:sz w:val="21"/>
                <w:szCs w:val="21"/>
              </w:rPr>
              <w:t xml:space="preserve"> 2016</w:t>
            </w:r>
          </w:p>
        </w:tc>
        <w:tc>
          <w:tcPr>
            <w:tcW w:w="2649" w:type="dxa"/>
          </w:tcPr>
          <w:p w:rsidR="004313F3" w:rsidRPr="007B64BB" w:rsidRDefault="0092202E" w:rsidP="0092202E">
            <w:pPr>
              <w:rPr>
                <w:sz w:val="21"/>
                <w:szCs w:val="21"/>
              </w:rPr>
            </w:pPr>
            <w:r w:rsidRPr="007B64BB">
              <w:rPr>
                <w:sz w:val="21"/>
                <w:szCs w:val="21"/>
              </w:rPr>
              <w:t>1pm Fri 2</w:t>
            </w:r>
            <w:r w:rsidRPr="007B64BB">
              <w:rPr>
                <w:sz w:val="21"/>
                <w:szCs w:val="21"/>
                <w:vertAlign w:val="superscript"/>
              </w:rPr>
              <w:t>nd</w:t>
            </w:r>
            <w:r w:rsidRPr="007B64BB">
              <w:rPr>
                <w:sz w:val="21"/>
                <w:szCs w:val="21"/>
              </w:rPr>
              <w:t xml:space="preserve"> Dec</w:t>
            </w:r>
            <w:r w:rsidR="004313F3" w:rsidRPr="007B64BB">
              <w:rPr>
                <w:sz w:val="21"/>
                <w:szCs w:val="21"/>
              </w:rPr>
              <w:t xml:space="preserve"> 2016</w:t>
            </w:r>
          </w:p>
        </w:tc>
        <w:tc>
          <w:tcPr>
            <w:tcW w:w="2650" w:type="dxa"/>
          </w:tcPr>
          <w:p w:rsidR="004313F3" w:rsidRPr="007B64BB" w:rsidRDefault="0092202E" w:rsidP="0092202E">
            <w:pPr>
              <w:rPr>
                <w:sz w:val="21"/>
                <w:szCs w:val="21"/>
              </w:rPr>
            </w:pPr>
            <w:r w:rsidRPr="007B64BB">
              <w:rPr>
                <w:sz w:val="21"/>
                <w:szCs w:val="21"/>
              </w:rPr>
              <w:t>Fri 16</w:t>
            </w:r>
            <w:r w:rsidRPr="007B64BB">
              <w:rPr>
                <w:sz w:val="21"/>
                <w:szCs w:val="21"/>
                <w:vertAlign w:val="superscript"/>
              </w:rPr>
              <w:t>th</w:t>
            </w:r>
            <w:r w:rsidRPr="007B64BB">
              <w:rPr>
                <w:sz w:val="21"/>
                <w:szCs w:val="21"/>
              </w:rPr>
              <w:t xml:space="preserve"> </w:t>
            </w:r>
            <w:r w:rsidR="007C195E" w:rsidRPr="007B64BB">
              <w:rPr>
                <w:sz w:val="21"/>
                <w:szCs w:val="21"/>
              </w:rPr>
              <w:t>Dec</w:t>
            </w:r>
            <w:r w:rsidR="004313F3" w:rsidRPr="007B64BB">
              <w:rPr>
                <w:sz w:val="21"/>
                <w:szCs w:val="21"/>
              </w:rPr>
              <w:t xml:space="preserve"> 2016</w:t>
            </w:r>
          </w:p>
        </w:tc>
      </w:tr>
    </w:tbl>
    <w:p w:rsidR="000F7685" w:rsidRPr="00470ACA" w:rsidRDefault="000F7685" w:rsidP="000F7685">
      <w:pPr>
        <w:spacing w:after="0" w:line="240" w:lineRule="auto"/>
        <w:rPr>
          <w:sz w:val="21"/>
          <w:szCs w:val="21"/>
        </w:rPr>
      </w:pPr>
      <w:r w:rsidRPr="00A33B38">
        <w:rPr>
          <w:sz w:val="21"/>
          <w:szCs w:val="21"/>
        </w:rPr>
        <w:t xml:space="preserve">All projects must be complete </w:t>
      </w:r>
      <w:r w:rsidRPr="00AA338E">
        <w:rPr>
          <w:sz w:val="21"/>
          <w:szCs w:val="21"/>
        </w:rPr>
        <w:t xml:space="preserve">by </w:t>
      </w:r>
      <w:r w:rsidR="00FD3C5F" w:rsidRPr="00AA338E">
        <w:rPr>
          <w:sz w:val="21"/>
          <w:szCs w:val="21"/>
        </w:rPr>
        <w:t>28</w:t>
      </w:r>
      <w:r w:rsidRPr="00AA338E">
        <w:rPr>
          <w:sz w:val="21"/>
          <w:szCs w:val="21"/>
          <w:vertAlign w:val="superscript"/>
        </w:rPr>
        <w:t>th</w:t>
      </w:r>
      <w:r w:rsidRPr="00AA338E">
        <w:rPr>
          <w:sz w:val="21"/>
          <w:szCs w:val="21"/>
        </w:rPr>
        <w:t xml:space="preserve"> </w:t>
      </w:r>
      <w:r w:rsidR="00FD3C5F" w:rsidRPr="00AA338E">
        <w:rPr>
          <w:sz w:val="21"/>
          <w:szCs w:val="21"/>
        </w:rPr>
        <w:t>February</w:t>
      </w:r>
      <w:r w:rsidR="007C195E">
        <w:rPr>
          <w:sz w:val="21"/>
          <w:szCs w:val="21"/>
        </w:rPr>
        <w:t xml:space="preserve"> 2018</w:t>
      </w:r>
      <w:r w:rsidRPr="00A33B38">
        <w:rPr>
          <w:sz w:val="21"/>
          <w:szCs w:val="21"/>
        </w:rPr>
        <w:t>, as this is the duration of the institutional funding award.</w:t>
      </w:r>
    </w:p>
    <w:p w:rsidR="000F7685" w:rsidRDefault="000F7685" w:rsidP="000F7685">
      <w:pPr>
        <w:spacing w:after="0" w:line="240" w:lineRule="auto"/>
        <w:rPr>
          <w:sz w:val="21"/>
          <w:szCs w:val="21"/>
        </w:rPr>
      </w:pPr>
    </w:p>
    <w:p w:rsidR="000F7685" w:rsidRPr="00470ACA" w:rsidRDefault="000F7685" w:rsidP="00E21ECE">
      <w:pPr>
        <w:spacing w:after="0" w:line="240" w:lineRule="auto"/>
        <w:jc w:val="both"/>
        <w:rPr>
          <w:sz w:val="21"/>
          <w:szCs w:val="21"/>
        </w:rPr>
      </w:pPr>
      <w:r w:rsidRPr="00CC1CD8">
        <w:rPr>
          <w:sz w:val="21"/>
          <w:szCs w:val="21"/>
        </w:rPr>
        <w:t xml:space="preserve">Key contacts for discussion of projects with translational potential and further support are </w:t>
      </w:r>
      <w:r w:rsidR="00CC1CD8" w:rsidRPr="00CC1CD8">
        <w:t>Claire Fenlon</w:t>
      </w:r>
      <w:r w:rsidR="00CB2590" w:rsidRPr="00CC1CD8">
        <w:t xml:space="preserve">  (</w:t>
      </w:r>
      <w:hyperlink r:id="rId12" w:history="1">
        <w:r w:rsidR="00CC1CD8" w:rsidRPr="00CC1CD8">
          <w:rPr>
            <w:rStyle w:val="Hyperlink"/>
          </w:rPr>
          <w:t>c.m.fenlon@bham.ac.uk</w:t>
        </w:r>
      </w:hyperlink>
      <w:r w:rsidR="00CC1CD8" w:rsidRPr="00CC1CD8">
        <w:t>)</w:t>
      </w:r>
      <w:r w:rsidR="00CC1CD8">
        <w:t>,</w:t>
      </w:r>
      <w:r w:rsidR="00CC1CD8" w:rsidRPr="00CC1CD8">
        <w:t xml:space="preserve"> </w:t>
      </w:r>
      <w:r w:rsidRPr="00CC1CD8">
        <w:rPr>
          <w:sz w:val="21"/>
          <w:szCs w:val="21"/>
        </w:rPr>
        <w:t>MDS Technology Transfer Officer</w:t>
      </w:r>
      <w:r w:rsidR="00CC1CD8">
        <w:rPr>
          <w:sz w:val="21"/>
          <w:szCs w:val="21"/>
        </w:rPr>
        <w:t>,</w:t>
      </w:r>
      <w:r w:rsidRPr="00CC1CD8">
        <w:rPr>
          <w:sz w:val="21"/>
          <w:szCs w:val="21"/>
        </w:rPr>
        <w:t xml:space="preserve"> and Jonathan Watkins of Alta Innovations (</w:t>
      </w:r>
      <w:hyperlink r:id="rId13" w:history="1">
        <w:r w:rsidRPr="00CC1CD8">
          <w:rPr>
            <w:rStyle w:val="Hyperlink"/>
            <w:sz w:val="21"/>
            <w:szCs w:val="21"/>
          </w:rPr>
          <w:t>j.watkins@alta.bham.ac.uk</w:t>
        </w:r>
      </w:hyperlink>
      <w:r w:rsidRPr="00CC1CD8">
        <w:rPr>
          <w:sz w:val="21"/>
          <w:szCs w:val="21"/>
        </w:rPr>
        <w:t>), although the College Research Support Offices will also provide input where requested.</w:t>
      </w:r>
    </w:p>
    <w:p w:rsidR="000F7685" w:rsidRPr="00470ACA" w:rsidRDefault="000F7685" w:rsidP="00E21ECE">
      <w:pPr>
        <w:spacing w:after="0" w:line="240" w:lineRule="auto"/>
        <w:jc w:val="both"/>
        <w:rPr>
          <w:sz w:val="21"/>
          <w:szCs w:val="21"/>
        </w:rPr>
      </w:pPr>
    </w:p>
    <w:p w:rsidR="000F7685" w:rsidRPr="00470ACA" w:rsidRDefault="000F7685" w:rsidP="00E21ECE">
      <w:pPr>
        <w:spacing w:after="0" w:line="240" w:lineRule="auto"/>
        <w:jc w:val="both"/>
        <w:rPr>
          <w:sz w:val="21"/>
          <w:szCs w:val="21"/>
        </w:rPr>
      </w:pPr>
      <w:r w:rsidRPr="00470ACA">
        <w:rPr>
          <w:sz w:val="21"/>
          <w:szCs w:val="21"/>
        </w:rPr>
        <w:t xml:space="preserve">Those projects shortlisted from </w:t>
      </w:r>
      <w:proofErr w:type="spellStart"/>
      <w:r w:rsidRPr="00470ACA">
        <w:rPr>
          <w:sz w:val="21"/>
          <w:szCs w:val="21"/>
        </w:rPr>
        <w:t>EoI</w:t>
      </w:r>
      <w:proofErr w:type="spellEnd"/>
      <w:r w:rsidRPr="00470ACA">
        <w:rPr>
          <w:sz w:val="21"/>
          <w:szCs w:val="21"/>
        </w:rPr>
        <w:t xml:space="preserve"> will have extensive input into further development of the case and formation of an appropriate support team (see below). Support will be provided to those applications not shortlisted, either to develop new </w:t>
      </w:r>
      <w:proofErr w:type="spellStart"/>
      <w:r w:rsidRPr="00470ACA">
        <w:rPr>
          <w:sz w:val="21"/>
          <w:szCs w:val="21"/>
        </w:rPr>
        <w:t>EoIs</w:t>
      </w:r>
      <w:proofErr w:type="spellEnd"/>
      <w:r w:rsidRPr="00470ACA">
        <w:rPr>
          <w:sz w:val="21"/>
          <w:szCs w:val="21"/>
        </w:rPr>
        <w:t xml:space="preserve"> for the second call if appropriate or for external funding streams. </w:t>
      </w:r>
    </w:p>
    <w:p w:rsidR="000F7685" w:rsidRDefault="000F7685" w:rsidP="00470ACA">
      <w:pPr>
        <w:pStyle w:val="Heading2"/>
        <w:spacing w:before="0" w:line="240" w:lineRule="auto"/>
        <w:rPr>
          <w:rFonts w:asciiTheme="minorHAnsi" w:hAnsiTheme="minorHAnsi" w:cstheme="minorHAnsi"/>
          <w:color w:val="auto"/>
          <w:sz w:val="24"/>
          <w:szCs w:val="24"/>
        </w:rPr>
      </w:pPr>
    </w:p>
    <w:p w:rsidR="00AD0033" w:rsidRPr="00470ACA" w:rsidRDefault="00AD0033"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Translational funding – not your average project grant</w:t>
      </w:r>
    </w:p>
    <w:p w:rsidR="00A20838" w:rsidRPr="00470ACA" w:rsidRDefault="00A20838" w:rsidP="00E21ECE">
      <w:pPr>
        <w:pStyle w:val="Heading2"/>
        <w:spacing w:before="0" w:line="240" w:lineRule="auto"/>
        <w:jc w:val="both"/>
        <w:rPr>
          <w:rFonts w:asciiTheme="minorHAnsi" w:hAnsiTheme="minorHAnsi" w:cstheme="minorHAnsi"/>
          <w:b w:val="0"/>
          <w:color w:val="auto"/>
          <w:sz w:val="21"/>
          <w:szCs w:val="21"/>
        </w:rPr>
      </w:pPr>
      <w:r w:rsidRPr="00470ACA">
        <w:rPr>
          <w:rFonts w:asciiTheme="minorHAnsi" w:hAnsiTheme="minorHAnsi" w:cstheme="minorHAnsi"/>
          <w:b w:val="0"/>
          <w:color w:val="auto"/>
          <w:sz w:val="21"/>
          <w:szCs w:val="21"/>
        </w:rPr>
        <w:t>Applicants should be aware that translational research funding differs from a typical project grant in that the underpinning basic res</w:t>
      </w:r>
      <w:r w:rsidR="000F7685">
        <w:rPr>
          <w:rFonts w:asciiTheme="minorHAnsi" w:hAnsiTheme="minorHAnsi" w:cstheme="minorHAnsi"/>
          <w:b w:val="0"/>
          <w:color w:val="auto"/>
          <w:sz w:val="21"/>
          <w:szCs w:val="21"/>
        </w:rPr>
        <w:t xml:space="preserve">earch will </w:t>
      </w:r>
      <w:r w:rsidR="00935089">
        <w:rPr>
          <w:rFonts w:asciiTheme="minorHAnsi" w:hAnsiTheme="minorHAnsi" w:cstheme="minorHAnsi"/>
          <w:b w:val="0"/>
          <w:color w:val="auto"/>
          <w:sz w:val="21"/>
          <w:szCs w:val="21"/>
        </w:rPr>
        <w:t xml:space="preserve">already </w:t>
      </w:r>
      <w:r w:rsidR="000F7685">
        <w:rPr>
          <w:rFonts w:asciiTheme="minorHAnsi" w:hAnsiTheme="minorHAnsi" w:cstheme="minorHAnsi"/>
          <w:b w:val="0"/>
          <w:color w:val="auto"/>
          <w:sz w:val="21"/>
          <w:szCs w:val="21"/>
        </w:rPr>
        <w:t xml:space="preserve">be in place. Proof of concept data must be included in the application and up to 2 pages may be appended to the </w:t>
      </w:r>
      <w:proofErr w:type="spellStart"/>
      <w:r w:rsidR="000F7685">
        <w:rPr>
          <w:rFonts w:asciiTheme="minorHAnsi" w:hAnsiTheme="minorHAnsi" w:cstheme="minorHAnsi"/>
          <w:b w:val="0"/>
          <w:color w:val="auto"/>
          <w:sz w:val="21"/>
          <w:szCs w:val="21"/>
        </w:rPr>
        <w:t>EoI</w:t>
      </w:r>
      <w:proofErr w:type="spellEnd"/>
      <w:r w:rsidR="000F7685">
        <w:rPr>
          <w:rFonts w:asciiTheme="minorHAnsi" w:hAnsiTheme="minorHAnsi" w:cstheme="minorHAnsi"/>
          <w:b w:val="0"/>
          <w:color w:val="auto"/>
          <w:sz w:val="21"/>
          <w:szCs w:val="21"/>
        </w:rPr>
        <w:t>. P</w:t>
      </w:r>
      <w:r w:rsidRPr="00470ACA">
        <w:rPr>
          <w:rFonts w:asciiTheme="minorHAnsi" w:hAnsiTheme="minorHAnsi" w:cstheme="minorHAnsi"/>
          <w:b w:val="0"/>
          <w:color w:val="auto"/>
          <w:sz w:val="21"/>
          <w:szCs w:val="21"/>
        </w:rPr>
        <w:t>rogrammes of work should be focused around a number of key milestones that ‘de-risk’ specific elements of further development towards commercialisation/implementation.</w:t>
      </w:r>
      <w:r w:rsidR="00A80BB6" w:rsidRPr="00470ACA">
        <w:rPr>
          <w:rFonts w:asciiTheme="minorHAnsi" w:hAnsiTheme="minorHAnsi" w:cstheme="minorHAnsi"/>
          <w:b w:val="0"/>
          <w:color w:val="auto"/>
          <w:sz w:val="21"/>
          <w:szCs w:val="21"/>
        </w:rPr>
        <w:t xml:space="preserve"> These milestones are associated with the funding requested – if these cannot be delivered on time and on-budget, then funding may be withdrawn and the project terminated.</w:t>
      </w:r>
      <w:r w:rsidR="00A34575">
        <w:rPr>
          <w:rFonts w:asciiTheme="minorHAnsi" w:hAnsiTheme="minorHAnsi" w:cstheme="minorHAnsi"/>
          <w:b w:val="0"/>
          <w:color w:val="auto"/>
          <w:sz w:val="21"/>
          <w:szCs w:val="21"/>
        </w:rPr>
        <w:t xml:space="preserve">  </w:t>
      </w:r>
    </w:p>
    <w:p w:rsidR="000F7685" w:rsidRDefault="000F7685" w:rsidP="000F7685">
      <w:pPr>
        <w:spacing w:after="0" w:line="240" w:lineRule="auto"/>
        <w:rPr>
          <w:sz w:val="21"/>
          <w:szCs w:val="21"/>
        </w:rPr>
      </w:pPr>
    </w:p>
    <w:p w:rsidR="000F7685" w:rsidRDefault="000F7685" w:rsidP="00E21ECE">
      <w:pPr>
        <w:spacing w:after="0" w:line="240" w:lineRule="auto"/>
        <w:jc w:val="both"/>
        <w:rPr>
          <w:sz w:val="21"/>
          <w:szCs w:val="21"/>
        </w:rPr>
      </w:pPr>
      <w:r w:rsidRPr="00470ACA">
        <w:rPr>
          <w:sz w:val="21"/>
          <w:szCs w:val="21"/>
        </w:rPr>
        <w:t>The significant potential for further funding and impact inherent in these projects means that support is more substantial than normal internal awards – typically we can support projects of 6-12 months of values between £50k</w:t>
      </w:r>
      <w:r>
        <w:rPr>
          <w:sz w:val="21"/>
          <w:szCs w:val="21"/>
        </w:rPr>
        <w:t>-</w:t>
      </w:r>
      <w:r w:rsidRPr="00470ACA">
        <w:rPr>
          <w:sz w:val="21"/>
          <w:szCs w:val="21"/>
        </w:rPr>
        <w:t xml:space="preserve">£100k (although those over the £75k range should have extensive justification, since the total institutional award is £600k to span a number of projects). </w:t>
      </w:r>
      <w:r w:rsidRPr="0076270D">
        <w:rPr>
          <w:sz w:val="21"/>
          <w:szCs w:val="21"/>
        </w:rPr>
        <w:t>Work should be fully economically costed through the appropriate Research Finance contact</w:t>
      </w:r>
      <w:r>
        <w:rPr>
          <w:sz w:val="21"/>
          <w:szCs w:val="21"/>
        </w:rPr>
        <w:t>. Est</w:t>
      </w:r>
      <w:r w:rsidRPr="0076270D">
        <w:rPr>
          <w:sz w:val="21"/>
          <w:szCs w:val="21"/>
        </w:rPr>
        <w:t>ima</w:t>
      </w:r>
      <w:r>
        <w:rPr>
          <w:sz w:val="21"/>
          <w:szCs w:val="21"/>
        </w:rPr>
        <w:t xml:space="preserve">tes are acceptable at </w:t>
      </w:r>
      <w:proofErr w:type="spellStart"/>
      <w:r>
        <w:rPr>
          <w:sz w:val="21"/>
          <w:szCs w:val="21"/>
        </w:rPr>
        <w:t>EoI</w:t>
      </w:r>
      <w:proofErr w:type="spellEnd"/>
      <w:r>
        <w:rPr>
          <w:sz w:val="21"/>
          <w:szCs w:val="21"/>
        </w:rPr>
        <w:t xml:space="preserve"> </w:t>
      </w:r>
      <w:proofErr w:type="gramStart"/>
      <w:r>
        <w:rPr>
          <w:sz w:val="21"/>
          <w:szCs w:val="21"/>
        </w:rPr>
        <w:t>stage,</w:t>
      </w:r>
      <w:proofErr w:type="gramEnd"/>
      <w:r>
        <w:rPr>
          <w:sz w:val="21"/>
          <w:szCs w:val="21"/>
        </w:rPr>
        <w:t xml:space="preserve"> however a copy of the Research Finance costings should be </w:t>
      </w:r>
      <w:r w:rsidR="00935089">
        <w:rPr>
          <w:sz w:val="21"/>
          <w:szCs w:val="21"/>
        </w:rPr>
        <w:t>appended</w:t>
      </w:r>
      <w:r>
        <w:rPr>
          <w:sz w:val="21"/>
          <w:szCs w:val="21"/>
        </w:rPr>
        <w:t xml:space="preserve"> at full application stage. </w:t>
      </w:r>
    </w:p>
    <w:p w:rsidR="000F7685" w:rsidRPr="00470ACA" w:rsidRDefault="000F7685" w:rsidP="000F7685">
      <w:pPr>
        <w:spacing w:after="0" w:line="240" w:lineRule="auto"/>
        <w:rPr>
          <w:sz w:val="21"/>
          <w:szCs w:val="21"/>
        </w:rPr>
      </w:pPr>
    </w:p>
    <w:p w:rsidR="000F7685" w:rsidRPr="00470ACA" w:rsidRDefault="000F7685" w:rsidP="00E21ECE">
      <w:pPr>
        <w:pStyle w:val="Heading2"/>
        <w:spacing w:before="0" w:line="240" w:lineRule="auto"/>
        <w:jc w:val="both"/>
        <w:rPr>
          <w:rFonts w:asciiTheme="minorHAnsi" w:eastAsiaTheme="minorHAnsi" w:hAnsiTheme="minorHAnsi" w:cstheme="minorHAnsi"/>
          <w:b w:val="0"/>
          <w:bCs w:val="0"/>
          <w:color w:val="auto"/>
          <w:sz w:val="21"/>
          <w:szCs w:val="21"/>
          <w:lang w:val="en-US"/>
        </w:rPr>
      </w:pPr>
      <w:r w:rsidRPr="00470ACA">
        <w:rPr>
          <w:rFonts w:asciiTheme="minorHAnsi" w:eastAsiaTheme="minorHAnsi" w:hAnsiTheme="minorHAnsi" w:cstheme="minorHAnsi"/>
          <w:b w:val="0"/>
          <w:bCs w:val="0"/>
          <w:color w:val="auto"/>
          <w:sz w:val="21"/>
          <w:szCs w:val="21"/>
          <w:lang w:val="en-US"/>
        </w:rPr>
        <w:lastRenderedPageBreak/>
        <w:t xml:space="preserve">The MRC wishes to promote academic-industry interactions through the </w:t>
      </w:r>
      <w:proofErr w:type="spellStart"/>
      <w:r w:rsidRPr="00470ACA">
        <w:rPr>
          <w:rFonts w:asciiTheme="minorHAnsi" w:eastAsiaTheme="minorHAnsi" w:hAnsiTheme="minorHAnsi" w:cstheme="minorHAnsi"/>
          <w:b w:val="0"/>
          <w:bCs w:val="0"/>
          <w:color w:val="auto"/>
          <w:sz w:val="21"/>
          <w:szCs w:val="21"/>
          <w:lang w:val="en-US"/>
        </w:rPr>
        <w:t>CiC</w:t>
      </w:r>
      <w:proofErr w:type="spellEnd"/>
      <w:r w:rsidRPr="00470ACA">
        <w:rPr>
          <w:rFonts w:asciiTheme="minorHAnsi" w:eastAsiaTheme="minorHAnsi" w:hAnsiTheme="minorHAnsi" w:cstheme="minorHAnsi"/>
          <w:b w:val="0"/>
          <w:bCs w:val="0"/>
          <w:color w:val="auto"/>
          <w:sz w:val="21"/>
          <w:szCs w:val="21"/>
          <w:lang w:val="en-US"/>
        </w:rPr>
        <w:t xml:space="preserve"> scheme; applicants are therefore strongly encouraged to explore how awards could be used to develop these interactions. People exchange (in either direction) is permitted, where focused on delivery of project objectives. Other routes (e.g. co-funding projects, developing early-stage collaborations) are also encouraged. Interactions with small and medium enterprises are particularly welcomed.</w:t>
      </w:r>
      <w:r>
        <w:rPr>
          <w:rFonts w:asciiTheme="minorHAnsi" w:eastAsiaTheme="minorHAnsi" w:hAnsiTheme="minorHAnsi" w:cstheme="minorHAnsi"/>
          <w:b w:val="0"/>
          <w:bCs w:val="0"/>
          <w:color w:val="auto"/>
          <w:sz w:val="21"/>
          <w:szCs w:val="21"/>
          <w:lang w:val="en-US"/>
        </w:rPr>
        <w:t xml:space="preserve"> </w:t>
      </w:r>
    </w:p>
    <w:p w:rsidR="00A20838" w:rsidRPr="00470ACA" w:rsidRDefault="00A20838" w:rsidP="00470ACA">
      <w:pPr>
        <w:spacing w:after="0" w:line="240" w:lineRule="auto"/>
        <w:rPr>
          <w:sz w:val="21"/>
          <w:szCs w:val="21"/>
        </w:rPr>
      </w:pPr>
    </w:p>
    <w:p w:rsidR="00890A86" w:rsidRPr="00470ACA" w:rsidRDefault="00890A86" w:rsidP="00E21ECE">
      <w:pPr>
        <w:pStyle w:val="Heading4"/>
        <w:spacing w:before="0" w:line="240" w:lineRule="auto"/>
        <w:jc w:val="both"/>
        <w:rPr>
          <w:rFonts w:asciiTheme="minorHAnsi" w:hAnsiTheme="minorHAnsi" w:cstheme="minorHAnsi"/>
          <w:i w:val="0"/>
          <w:color w:val="auto"/>
          <w:sz w:val="24"/>
          <w:szCs w:val="24"/>
        </w:rPr>
      </w:pPr>
      <w:r w:rsidRPr="00470ACA">
        <w:rPr>
          <w:rFonts w:asciiTheme="minorHAnsi" w:hAnsiTheme="minorHAnsi" w:cstheme="minorHAnsi"/>
          <w:i w:val="0"/>
          <w:color w:val="auto"/>
          <w:sz w:val="24"/>
          <w:szCs w:val="24"/>
        </w:rPr>
        <w:t>Translational Training</w:t>
      </w:r>
    </w:p>
    <w:p w:rsidR="00EC4AD4" w:rsidRDefault="00890A86" w:rsidP="00E21ECE">
      <w:pPr>
        <w:spacing w:after="0" w:line="240" w:lineRule="auto"/>
        <w:jc w:val="both"/>
        <w:rPr>
          <w:rFonts w:cstheme="minorHAnsi"/>
          <w:sz w:val="21"/>
          <w:szCs w:val="21"/>
        </w:rPr>
      </w:pPr>
      <w:r w:rsidRPr="00470ACA">
        <w:rPr>
          <w:rFonts w:cstheme="minorHAnsi"/>
          <w:sz w:val="21"/>
          <w:szCs w:val="21"/>
        </w:rPr>
        <w:t xml:space="preserve">Recognising that translational projects are non-typical and outside the comfort zone of many researchers, we will provide a programme of ‘Translational Training’ to support project development for </w:t>
      </w:r>
      <w:proofErr w:type="spellStart"/>
      <w:r w:rsidRPr="00470ACA">
        <w:rPr>
          <w:rFonts w:cstheme="minorHAnsi"/>
          <w:sz w:val="21"/>
          <w:szCs w:val="21"/>
        </w:rPr>
        <w:t>CiC</w:t>
      </w:r>
      <w:proofErr w:type="spellEnd"/>
      <w:r w:rsidRPr="00470ACA">
        <w:rPr>
          <w:rFonts w:cstheme="minorHAnsi"/>
          <w:sz w:val="21"/>
          <w:szCs w:val="21"/>
        </w:rPr>
        <w:t xml:space="preserve"> internal funding as well as the multitude of other external funding possibilities available. This will range from open sessions – some of which will be mandatory for those researchers leading an </w:t>
      </w:r>
      <w:proofErr w:type="spellStart"/>
      <w:r w:rsidRPr="00470ACA">
        <w:rPr>
          <w:rFonts w:cstheme="minorHAnsi"/>
          <w:sz w:val="21"/>
          <w:szCs w:val="21"/>
        </w:rPr>
        <w:t>EoI</w:t>
      </w:r>
      <w:proofErr w:type="spellEnd"/>
      <w:r w:rsidRPr="00470ACA">
        <w:rPr>
          <w:rFonts w:cstheme="minorHAnsi"/>
          <w:sz w:val="21"/>
          <w:szCs w:val="21"/>
        </w:rPr>
        <w:t xml:space="preserve"> bid for </w:t>
      </w:r>
      <w:proofErr w:type="spellStart"/>
      <w:r w:rsidRPr="00470ACA">
        <w:rPr>
          <w:rFonts w:cstheme="minorHAnsi"/>
          <w:sz w:val="21"/>
          <w:szCs w:val="21"/>
        </w:rPr>
        <w:t>CiC</w:t>
      </w:r>
      <w:proofErr w:type="spellEnd"/>
      <w:r w:rsidRPr="00470ACA">
        <w:rPr>
          <w:rFonts w:cstheme="minorHAnsi"/>
          <w:sz w:val="21"/>
          <w:szCs w:val="21"/>
        </w:rPr>
        <w:t xml:space="preserve"> funding – to one-on-one feedback and mentoring sessions that will be available to support individuals and projects. In some cases these will be specifically recommended, but they are open to all researchers on request. </w:t>
      </w:r>
    </w:p>
    <w:p w:rsidR="000B0EA8" w:rsidRDefault="000B0EA8" w:rsidP="00E21ECE">
      <w:pPr>
        <w:spacing w:after="0" w:line="240" w:lineRule="auto"/>
        <w:jc w:val="both"/>
        <w:rPr>
          <w:rFonts w:cstheme="minorHAnsi"/>
          <w:sz w:val="21"/>
          <w:szCs w:val="21"/>
        </w:rPr>
      </w:pPr>
    </w:p>
    <w:p w:rsidR="005854D9" w:rsidRPr="005854D9" w:rsidRDefault="00523B11" w:rsidP="00E21ECE">
      <w:pPr>
        <w:spacing w:after="0" w:line="240" w:lineRule="auto"/>
        <w:jc w:val="both"/>
        <w:rPr>
          <w:rFonts w:cstheme="minorHAnsi"/>
          <w:b/>
          <w:color w:val="FF0000"/>
          <w:sz w:val="21"/>
          <w:szCs w:val="21"/>
        </w:rPr>
      </w:pPr>
      <w:r>
        <w:rPr>
          <w:rFonts w:cstheme="minorHAnsi"/>
          <w:sz w:val="21"/>
          <w:szCs w:val="21"/>
        </w:rPr>
        <w:t>The</w:t>
      </w:r>
      <w:r w:rsidR="00890A86" w:rsidRPr="005854D9">
        <w:rPr>
          <w:rFonts w:cstheme="minorHAnsi"/>
          <w:sz w:val="21"/>
          <w:szCs w:val="21"/>
        </w:rPr>
        <w:t xml:space="preserve"> </w:t>
      </w:r>
      <w:r w:rsidR="00304F3E" w:rsidRPr="005854D9">
        <w:rPr>
          <w:rFonts w:cstheme="minorHAnsi"/>
          <w:sz w:val="21"/>
          <w:szCs w:val="21"/>
        </w:rPr>
        <w:t xml:space="preserve">mandatory 1hr translational training session </w:t>
      </w:r>
      <w:r>
        <w:rPr>
          <w:rFonts w:cstheme="minorHAnsi"/>
          <w:sz w:val="21"/>
          <w:szCs w:val="21"/>
        </w:rPr>
        <w:t xml:space="preserve">will be held </w:t>
      </w:r>
      <w:r w:rsidR="00A05D84">
        <w:rPr>
          <w:rFonts w:cstheme="minorHAnsi"/>
          <w:sz w:val="21"/>
          <w:szCs w:val="21"/>
        </w:rPr>
        <w:t>on</w:t>
      </w:r>
      <w:r>
        <w:rPr>
          <w:rFonts w:cstheme="minorHAnsi"/>
          <w:sz w:val="21"/>
          <w:szCs w:val="21"/>
        </w:rPr>
        <w:t xml:space="preserve"> </w:t>
      </w:r>
      <w:r w:rsidR="0092202E" w:rsidRPr="00765B46">
        <w:rPr>
          <w:b/>
          <w:color w:val="FF0000"/>
          <w:sz w:val="21"/>
          <w:szCs w:val="21"/>
        </w:rPr>
        <w:t>Thursday 22nd</w:t>
      </w:r>
      <w:r w:rsidRPr="00765B46">
        <w:rPr>
          <w:b/>
          <w:color w:val="FF0000"/>
          <w:sz w:val="21"/>
          <w:szCs w:val="21"/>
        </w:rPr>
        <w:t xml:space="preserve"> September</w:t>
      </w:r>
      <w:r w:rsidR="00A05D84" w:rsidRPr="00765B46">
        <w:rPr>
          <w:b/>
          <w:color w:val="FF0000"/>
          <w:sz w:val="21"/>
          <w:szCs w:val="21"/>
        </w:rPr>
        <w:t xml:space="preserve"> (2pm, Stanley Barnes Room, MDS)</w:t>
      </w:r>
      <w:r w:rsidR="005854D9" w:rsidRPr="00FC06D7">
        <w:rPr>
          <w:rFonts w:cstheme="minorHAnsi"/>
          <w:b/>
          <w:color w:val="FF0000"/>
          <w:sz w:val="21"/>
          <w:szCs w:val="21"/>
        </w:rPr>
        <w:t>.</w:t>
      </w:r>
      <w:r w:rsidR="005854D9" w:rsidRPr="005854D9">
        <w:rPr>
          <w:rFonts w:cstheme="minorHAnsi"/>
          <w:b/>
          <w:color w:val="FF0000"/>
          <w:sz w:val="21"/>
          <w:szCs w:val="21"/>
        </w:rPr>
        <w:t xml:space="preserve">  </w:t>
      </w:r>
      <w:r w:rsidR="005854D9" w:rsidRPr="005854D9">
        <w:rPr>
          <w:rFonts w:cstheme="minorHAnsi"/>
          <w:sz w:val="21"/>
          <w:szCs w:val="21"/>
        </w:rPr>
        <w:t>Please</w:t>
      </w:r>
      <w:r w:rsidR="007C61CD">
        <w:rPr>
          <w:rFonts w:cstheme="minorHAnsi"/>
          <w:sz w:val="21"/>
          <w:szCs w:val="21"/>
        </w:rPr>
        <w:t xml:space="preserve"> contact Neil Holland (</w:t>
      </w:r>
      <w:hyperlink r:id="rId14" w:history="1">
        <w:r w:rsidR="007C61CD" w:rsidRPr="00814CB3">
          <w:rPr>
            <w:rStyle w:val="Hyperlink"/>
            <w:rFonts w:cstheme="minorHAnsi"/>
            <w:sz w:val="21"/>
            <w:szCs w:val="21"/>
          </w:rPr>
          <w:t>N.A.Holland@bham.ac.uk</w:t>
        </w:r>
      </w:hyperlink>
      <w:r w:rsidR="007C61CD">
        <w:rPr>
          <w:rFonts w:cstheme="minorHAnsi"/>
          <w:sz w:val="21"/>
          <w:szCs w:val="21"/>
        </w:rPr>
        <w:t>) for more information and</w:t>
      </w:r>
      <w:r w:rsidR="005854D9" w:rsidRPr="005854D9">
        <w:rPr>
          <w:rFonts w:cstheme="minorHAnsi"/>
          <w:sz w:val="21"/>
          <w:szCs w:val="21"/>
        </w:rPr>
        <w:t xml:space="preserve"> </w:t>
      </w:r>
      <w:r w:rsidR="007C195E">
        <w:rPr>
          <w:rFonts w:cstheme="minorHAnsi"/>
          <w:sz w:val="21"/>
          <w:szCs w:val="21"/>
        </w:rPr>
        <w:t>to book your place</w:t>
      </w:r>
      <w:r w:rsidR="005854D9" w:rsidRPr="005854D9">
        <w:rPr>
          <w:rFonts w:cstheme="minorHAnsi"/>
          <w:sz w:val="21"/>
          <w:szCs w:val="21"/>
        </w:rPr>
        <w:t xml:space="preserve">. </w:t>
      </w:r>
    </w:p>
    <w:p w:rsidR="00304F3E" w:rsidRPr="00470ACA" w:rsidRDefault="005854D9" w:rsidP="00E21ECE">
      <w:pPr>
        <w:spacing w:after="0" w:line="240" w:lineRule="auto"/>
        <w:jc w:val="both"/>
        <w:rPr>
          <w:sz w:val="21"/>
          <w:szCs w:val="21"/>
        </w:rPr>
      </w:pPr>
      <w:r w:rsidRPr="00470ACA">
        <w:rPr>
          <w:sz w:val="21"/>
          <w:szCs w:val="21"/>
        </w:rPr>
        <w:t xml:space="preserve"> </w:t>
      </w:r>
    </w:p>
    <w:p w:rsidR="00D65164" w:rsidRPr="00470ACA" w:rsidRDefault="00D65164" w:rsidP="00E21ECE">
      <w:pPr>
        <w:pStyle w:val="Heading3"/>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Project Translation Groups</w:t>
      </w:r>
    </w:p>
    <w:p w:rsidR="00A20838" w:rsidRPr="00470ACA" w:rsidRDefault="00D65164" w:rsidP="00E21ECE">
      <w:pPr>
        <w:spacing w:after="0" w:line="240" w:lineRule="auto"/>
        <w:jc w:val="both"/>
        <w:rPr>
          <w:rFonts w:cstheme="minorHAnsi"/>
          <w:sz w:val="21"/>
          <w:szCs w:val="21"/>
        </w:rPr>
      </w:pPr>
      <w:r w:rsidRPr="00470ACA">
        <w:rPr>
          <w:rFonts w:cstheme="minorHAnsi"/>
          <w:sz w:val="21"/>
          <w:szCs w:val="21"/>
        </w:rPr>
        <w:t xml:space="preserve">For each project </w:t>
      </w:r>
      <w:r w:rsidR="000101CD">
        <w:rPr>
          <w:rFonts w:cstheme="minorHAnsi"/>
          <w:sz w:val="21"/>
          <w:szCs w:val="21"/>
        </w:rPr>
        <w:t>invited to submit a full application</w:t>
      </w:r>
      <w:r w:rsidRPr="00470ACA">
        <w:rPr>
          <w:rFonts w:cstheme="minorHAnsi"/>
          <w:sz w:val="21"/>
          <w:szCs w:val="21"/>
        </w:rPr>
        <w:t>, we will form a small Project Translation Group (PTG) comprising the lead academic applicant together with internal and external experts and professional support</w:t>
      </w:r>
      <w:r w:rsidR="00A20838" w:rsidRPr="00470ACA">
        <w:rPr>
          <w:rFonts w:cstheme="minorHAnsi"/>
          <w:sz w:val="21"/>
          <w:szCs w:val="21"/>
        </w:rPr>
        <w:t>. These PTGs provide</w:t>
      </w:r>
      <w:r w:rsidRPr="00470ACA">
        <w:rPr>
          <w:rFonts w:cstheme="minorHAnsi"/>
          <w:sz w:val="21"/>
          <w:szCs w:val="21"/>
        </w:rPr>
        <w:t xml:space="preserve"> the expertise required to plan in detail the fundamental science, preclinical and clinical development, IP and commercialisati</w:t>
      </w:r>
      <w:bookmarkStart w:id="0" w:name="_GoBack"/>
      <w:bookmarkEnd w:id="0"/>
      <w:r w:rsidR="000F7685">
        <w:rPr>
          <w:rFonts w:cstheme="minorHAnsi"/>
          <w:sz w:val="21"/>
          <w:szCs w:val="21"/>
        </w:rPr>
        <w:t xml:space="preserve">on. </w:t>
      </w:r>
      <w:r w:rsidRPr="00470ACA">
        <w:rPr>
          <w:rFonts w:cstheme="minorHAnsi"/>
          <w:sz w:val="21"/>
          <w:szCs w:val="21"/>
        </w:rPr>
        <w:t xml:space="preserve">For projects already engaging with industry collaborators, representatives of the latter </w:t>
      </w:r>
      <w:r w:rsidR="007447A0">
        <w:rPr>
          <w:rFonts w:cstheme="minorHAnsi"/>
          <w:sz w:val="21"/>
          <w:szCs w:val="21"/>
        </w:rPr>
        <w:t>may</w:t>
      </w:r>
      <w:r w:rsidRPr="00470ACA">
        <w:rPr>
          <w:rFonts w:cstheme="minorHAnsi"/>
          <w:sz w:val="21"/>
          <w:szCs w:val="21"/>
        </w:rPr>
        <w:t xml:space="preserve"> also be involved</w:t>
      </w:r>
      <w:r w:rsidR="00890A86">
        <w:rPr>
          <w:rFonts w:cstheme="minorHAnsi"/>
          <w:sz w:val="21"/>
          <w:szCs w:val="21"/>
        </w:rPr>
        <w:t xml:space="preserve">, and external advisors with industry backgrounds will </w:t>
      </w:r>
      <w:r w:rsidR="007447A0">
        <w:rPr>
          <w:rFonts w:cstheme="minorHAnsi"/>
          <w:sz w:val="21"/>
          <w:szCs w:val="21"/>
        </w:rPr>
        <w:t>chair each PTG</w:t>
      </w:r>
      <w:r w:rsidRPr="00470ACA">
        <w:rPr>
          <w:rFonts w:cstheme="minorHAnsi"/>
          <w:sz w:val="21"/>
          <w:szCs w:val="21"/>
        </w:rPr>
        <w:t>.</w:t>
      </w:r>
      <w:r w:rsidR="00D51C46" w:rsidRPr="00470ACA">
        <w:rPr>
          <w:rFonts w:cstheme="minorHAnsi"/>
          <w:sz w:val="21"/>
          <w:szCs w:val="21"/>
        </w:rPr>
        <w:t xml:space="preserve"> The central </w:t>
      </w:r>
      <w:proofErr w:type="spellStart"/>
      <w:r w:rsidR="00D51C46" w:rsidRPr="00470ACA">
        <w:rPr>
          <w:rFonts w:cstheme="minorHAnsi"/>
          <w:sz w:val="21"/>
          <w:szCs w:val="21"/>
        </w:rPr>
        <w:t>CiC</w:t>
      </w:r>
      <w:proofErr w:type="spellEnd"/>
      <w:r w:rsidR="00D51C46" w:rsidRPr="00470ACA">
        <w:rPr>
          <w:rFonts w:cstheme="minorHAnsi"/>
          <w:sz w:val="21"/>
          <w:szCs w:val="21"/>
        </w:rPr>
        <w:t xml:space="preserve"> Steering Group will make recommendations to support formation of these.</w:t>
      </w:r>
    </w:p>
    <w:p w:rsidR="00D65164" w:rsidRPr="00470ACA" w:rsidRDefault="00D65164" w:rsidP="00E21ECE">
      <w:pPr>
        <w:spacing w:after="0" w:line="240" w:lineRule="auto"/>
        <w:jc w:val="both"/>
        <w:rPr>
          <w:rFonts w:cstheme="minorHAnsi"/>
          <w:sz w:val="21"/>
          <w:szCs w:val="21"/>
        </w:rPr>
      </w:pPr>
      <w:r w:rsidRPr="00470ACA">
        <w:rPr>
          <w:rFonts w:cstheme="minorHAnsi"/>
          <w:sz w:val="21"/>
          <w:szCs w:val="21"/>
        </w:rPr>
        <w:t xml:space="preserve"> </w:t>
      </w:r>
    </w:p>
    <w:p w:rsidR="00A20838" w:rsidRPr="00470ACA" w:rsidRDefault="00304F3E" w:rsidP="00E21ECE">
      <w:pPr>
        <w:spacing w:after="0" w:line="240" w:lineRule="auto"/>
        <w:jc w:val="both"/>
        <w:rPr>
          <w:sz w:val="21"/>
          <w:szCs w:val="21"/>
        </w:rPr>
      </w:pPr>
      <w:r w:rsidRPr="00DE790B">
        <w:rPr>
          <w:sz w:val="21"/>
          <w:szCs w:val="21"/>
        </w:rPr>
        <w:t xml:space="preserve">Key date for </w:t>
      </w:r>
      <w:r w:rsidR="00DE790B" w:rsidRPr="00DE790B">
        <w:rPr>
          <w:sz w:val="21"/>
          <w:szCs w:val="21"/>
        </w:rPr>
        <w:t>initial</w:t>
      </w:r>
      <w:r w:rsidR="00A33B38" w:rsidRPr="00DE790B">
        <w:rPr>
          <w:sz w:val="21"/>
          <w:szCs w:val="21"/>
        </w:rPr>
        <w:t xml:space="preserve"> </w:t>
      </w:r>
      <w:r w:rsidRPr="00DE790B">
        <w:rPr>
          <w:sz w:val="21"/>
          <w:szCs w:val="21"/>
        </w:rPr>
        <w:t>PTG meetings</w:t>
      </w:r>
      <w:r w:rsidR="00A33B38" w:rsidRPr="00DE790B">
        <w:rPr>
          <w:sz w:val="21"/>
          <w:szCs w:val="21"/>
        </w:rPr>
        <w:t xml:space="preserve"> (</w:t>
      </w:r>
      <w:r w:rsidR="00DE790B" w:rsidRPr="00DE790B">
        <w:rPr>
          <w:sz w:val="21"/>
          <w:szCs w:val="21"/>
        </w:rPr>
        <w:t>approx. 1 hr</w:t>
      </w:r>
      <w:r w:rsidR="00A33B38" w:rsidRPr="00DE790B">
        <w:rPr>
          <w:sz w:val="21"/>
          <w:szCs w:val="21"/>
        </w:rPr>
        <w:t>)</w:t>
      </w:r>
      <w:r w:rsidR="00DE790B" w:rsidRPr="00DE790B">
        <w:rPr>
          <w:sz w:val="21"/>
          <w:szCs w:val="21"/>
        </w:rPr>
        <w:t xml:space="preserve"> is yet to be confirmed, however we anticipate it will be </w:t>
      </w:r>
      <w:r w:rsidR="007A71A8" w:rsidRPr="00765B46">
        <w:rPr>
          <w:b/>
          <w:color w:val="FF0000"/>
          <w:sz w:val="21"/>
          <w:szCs w:val="21"/>
        </w:rPr>
        <w:t>w</w:t>
      </w:r>
      <w:r w:rsidR="00523B11" w:rsidRPr="00765B46">
        <w:rPr>
          <w:b/>
          <w:color w:val="FF0000"/>
          <w:sz w:val="21"/>
          <w:szCs w:val="21"/>
        </w:rPr>
        <w:t xml:space="preserve">/c </w:t>
      </w:r>
      <w:r w:rsidR="003E69D9" w:rsidRPr="00765B46">
        <w:rPr>
          <w:b/>
          <w:color w:val="FF0000"/>
          <w:sz w:val="21"/>
          <w:szCs w:val="21"/>
        </w:rPr>
        <w:t>14</w:t>
      </w:r>
      <w:r w:rsidR="00DE790B" w:rsidRPr="00765B46">
        <w:rPr>
          <w:b/>
          <w:color w:val="FF0000"/>
          <w:sz w:val="21"/>
          <w:szCs w:val="21"/>
          <w:vertAlign w:val="superscript"/>
        </w:rPr>
        <w:t>th</w:t>
      </w:r>
      <w:r w:rsidR="00DE790B" w:rsidRPr="00765B46">
        <w:rPr>
          <w:b/>
          <w:color w:val="FF0000"/>
          <w:sz w:val="21"/>
          <w:szCs w:val="21"/>
        </w:rPr>
        <w:t xml:space="preserve"> </w:t>
      </w:r>
      <w:r w:rsidR="00523B11" w:rsidRPr="00765B46">
        <w:rPr>
          <w:b/>
          <w:color w:val="FF0000"/>
          <w:sz w:val="21"/>
          <w:szCs w:val="21"/>
        </w:rPr>
        <w:t>November</w:t>
      </w:r>
      <w:r w:rsidRPr="00765B46">
        <w:rPr>
          <w:sz w:val="21"/>
          <w:szCs w:val="21"/>
        </w:rPr>
        <w:t>.</w:t>
      </w:r>
    </w:p>
    <w:p w:rsidR="005948EA" w:rsidRPr="00470ACA" w:rsidRDefault="005948EA" w:rsidP="00E21ECE">
      <w:pPr>
        <w:spacing w:after="0" w:line="240" w:lineRule="auto"/>
        <w:jc w:val="both"/>
        <w:rPr>
          <w:rFonts w:cstheme="minorHAnsi"/>
          <w:sz w:val="21"/>
          <w:szCs w:val="21"/>
        </w:rPr>
      </w:pPr>
    </w:p>
    <w:p w:rsidR="004D1B7A" w:rsidRPr="00470ACA" w:rsidRDefault="005948EA" w:rsidP="00E21ECE">
      <w:pPr>
        <w:pStyle w:val="Heading2"/>
        <w:spacing w:before="0" w:line="240" w:lineRule="auto"/>
        <w:jc w:val="both"/>
        <w:rPr>
          <w:rFonts w:asciiTheme="minorHAnsi" w:hAnsiTheme="minorHAnsi" w:cstheme="minorHAnsi"/>
          <w:color w:val="auto"/>
          <w:sz w:val="24"/>
          <w:szCs w:val="24"/>
        </w:rPr>
      </w:pPr>
      <w:r w:rsidRPr="00470ACA">
        <w:rPr>
          <w:rFonts w:asciiTheme="minorHAnsi" w:hAnsiTheme="minorHAnsi" w:cstheme="minorHAnsi"/>
          <w:color w:val="auto"/>
          <w:sz w:val="24"/>
          <w:szCs w:val="24"/>
        </w:rPr>
        <w:t>Additional information</w:t>
      </w:r>
    </w:p>
    <w:p w:rsidR="00A80BB6" w:rsidRPr="00470ACA" w:rsidRDefault="00A80BB6" w:rsidP="00E21ECE">
      <w:pPr>
        <w:spacing w:after="0" w:line="240" w:lineRule="auto"/>
        <w:jc w:val="both"/>
        <w:rPr>
          <w:rFonts w:cstheme="minorHAnsi"/>
          <w:sz w:val="21"/>
          <w:szCs w:val="21"/>
          <w:lang w:val="en-US"/>
        </w:rPr>
      </w:pPr>
      <w:r w:rsidRPr="00470ACA">
        <w:rPr>
          <w:rFonts w:cstheme="minorHAnsi"/>
          <w:sz w:val="21"/>
          <w:szCs w:val="21"/>
          <w:lang w:val="en-US"/>
        </w:rPr>
        <w:t>Due consideration must be given to the milestone structure of projects – there should be 2-3 milestones maximum, and these should be closely tied with the funding (particularly staffing) in such a way that projects can be terminated for non-delivery. This will be a key consideration in funding decisions.</w:t>
      </w:r>
    </w:p>
    <w:p w:rsidR="00A80BB6" w:rsidRPr="00470ACA" w:rsidRDefault="00A80BB6" w:rsidP="00E21ECE">
      <w:pPr>
        <w:spacing w:after="0" w:line="240" w:lineRule="auto"/>
        <w:jc w:val="both"/>
        <w:rPr>
          <w:rFonts w:cstheme="minorHAnsi"/>
          <w:sz w:val="21"/>
          <w:szCs w:val="21"/>
          <w:lang w:val="en-US"/>
        </w:rPr>
      </w:pPr>
    </w:p>
    <w:p w:rsidR="00BA50EB" w:rsidRPr="00470ACA" w:rsidRDefault="00BA50EB" w:rsidP="00E21ECE">
      <w:pPr>
        <w:spacing w:after="0" w:line="240" w:lineRule="auto"/>
        <w:jc w:val="both"/>
        <w:rPr>
          <w:rFonts w:cstheme="minorHAnsi"/>
          <w:sz w:val="21"/>
          <w:szCs w:val="21"/>
          <w:lang w:val="en-US"/>
        </w:rPr>
      </w:pPr>
      <w:r w:rsidRPr="00470ACA">
        <w:rPr>
          <w:rFonts w:cstheme="minorHAnsi"/>
          <w:sz w:val="21"/>
          <w:szCs w:val="21"/>
          <w:lang w:val="en-US"/>
        </w:rPr>
        <w:t xml:space="preserve">The funding is not intended to support: </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 xml:space="preserve">Entire translational projects; applicants seeking funding for entire projects are directed to the MRC’s </w:t>
      </w:r>
      <w:r w:rsidR="00A40C5F">
        <w:rPr>
          <w:rFonts w:cstheme="minorHAnsi"/>
          <w:sz w:val="21"/>
          <w:szCs w:val="21"/>
          <w:lang w:val="en-US"/>
        </w:rPr>
        <w:t>BMC:DPFS and BMC:RMRC schemes</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Staff between posts/funding (i.e. as “bridging” funds), or PhD studentships</w:t>
      </w:r>
    </w:p>
    <w:p w:rsidR="00BA50EB" w:rsidRPr="00470ACA" w:rsidRDefault="00BA50EB" w:rsidP="00E21ECE">
      <w:pPr>
        <w:numPr>
          <w:ilvl w:val="0"/>
          <w:numId w:val="3"/>
        </w:numPr>
        <w:spacing w:after="0" w:line="240" w:lineRule="auto"/>
        <w:jc w:val="both"/>
        <w:rPr>
          <w:rFonts w:cstheme="minorHAnsi"/>
          <w:sz w:val="21"/>
          <w:szCs w:val="21"/>
          <w:lang w:val="en-US"/>
        </w:rPr>
      </w:pPr>
      <w:r w:rsidRPr="00470ACA">
        <w:rPr>
          <w:rFonts w:cstheme="minorHAnsi"/>
          <w:sz w:val="21"/>
          <w:szCs w:val="21"/>
          <w:lang w:val="en-US"/>
        </w:rPr>
        <w:t>Continuation of normal research grants</w:t>
      </w:r>
    </w:p>
    <w:p w:rsidR="00BA50EB" w:rsidRPr="00470ACA" w:rsidRDefault="00BA50EB" w:rsidP="00E21ECE">
      <w:pPr>
        <w:numPr>
          <w:ilvl w:val="0"/>
          <w:numId w:val="3"/>
        </w:numPr>
        <w:spacing w:after="0" w:line="240" w:lineRule="auto"/>
        <w:jc w:val="both"/>
        <w:rPr>
          <w:rFonts w:cstheme="minorHAnsi"/>
          <w:sz w:val="21"/>
          <w:szCs w:val="21"/>
        </w:rPr>
      </w:pPr>
      <w:r w:rsidRPr="00470ACA">
        <w:rPr>
          <w:rFonts w:cstheme="minorHAnsi"/>
          <w:sz w:val="21"/>
          <w:szCs w:val="21"/>
          <w:lang w:val="en-US"/>
        </w:rPr>
        <w:t>Costs relating to protection of intellectual property</w:t>
      </w:r>
    </w:p>
    <w:p w:rsidR="005948EA" w:rsidRPr="00470ACA" w:rsidRDefault="005948EA" w:rsidP="00E21ECE">
      <w:pPr>
        <w:spacing w:after="0" w:line="240" w:lineRule="auto"/>
        <w:jc w:val="both"/>
        <w:rPr>
          <w:rFonts w:cstheme="minorHAnsi"/>
          <w:sz w:val="21"/>
          <w:szCs w:val="21"/>
          <w:lang w:val="en-US"/>
        </w:rPr>
      </w:pPr>
    </w:p>
    <w:p w:rsidR="005948EA" w:rsidRPr="00470ACA" w:rsidRDefault="005948EA" w:rsidP="00E21ECE">
      <w:pPr>
        <w:spacing w:after="0" w:line="240" w:lineRule="auto"/>
        <w:jc w:val="both"/>
        <w:rPr>
          <w:rFonts w:cstheme="minorHAnsi"/>
          <w:sz w:val="21"/>
          <w:szCs w:val="21"/>
          <w:lang w:val="en-US"/>
        </w:rPr>
      </w:pPr>
      <w:r w:rsidRPr="00470ACA">
        <w:rPr>
          <w:rFonts w:cstheme="minorHAnsi"/>
          <w:sz w:val="21"/>
          <w:szCs w:val="21"/>
          <w:lang w:val="en-US"/>
        </w:rPr>
        <w:t>Where staff are needed to deliver certain aspects of the work, the Steering Committee would welcome projects that consider subcontracting these out to external organizations, or if internal staff are necessary then named researchers should be included in the full-stage application (with due consideration to the impact this will have on other projects they may be associated with).</w:t>
      </w:r>
    </w:p>
    <w:p w:rsidR="00A80BB6" w:rsidRPr="00470ACA" w:rsidRDefault="00A80BB6" w:rsidP="00E21ECE">
      <w:pPr>
        <w:spacing w:after="0" w:line="240" w:lineRule="auto"/>
        <w:jc w:val="both"/>
        <w:rPr>
          <w:rFonts w:cstheme="minorHAnsi"/>
          <w:sz w:val="21"/>
          <w:szCs w:val="21"/>
          <w:lang w:val="en-US"/>
        </w:rPr>
      </w:pPr>
    </w:p>
    <w:p w:rsidR="00A80BB6" w:rsidRPr="00470ACA" w:rsidRDefault="00A80BB6" w:rsidP="00E21ECE">
      <w:pPr>
        <w:spacing w:after="0" w:line="240" w:lineRule="auto"/>
        <w:jc w:val="both"/>
        <w:rPr>
          <w:rFonts w:cstheme="minorHAnsi"/>
          <w:sz w:val="21"/>
          <w:szCs w:val="21"/>
        </w:rPr>
      </w:pPr>
      <w:r w:rsidRPr="00470ACA">
        <w:rPr>
          <w:rFonts w:cstheme="minorHAnsi"/>
          <w:sz w:val="21"/>
          <w:szCs w:val="21"/>
          <w:lang w:val="en-US"/>
        </w:rPr>
        <w:t xml:space="preserve">As outlined, industry partnerships are strongly supported and will be </w:t>
      </w:r>
      <w:proofErr w:type="spellStart"/>
      <w:r w:rsidRPr="00470ACA">
        <w:rPr>
          <w:rFonts w:cstheme="minorHAnsi"/>
          <w:sz w:val="21"/>
          <w:szCs w:val="21"/>
          <w:lang w:val="en-US"/>
        </w:rPr>
        <w:t>favourably</w:t>
      </w:r>
      <w:proofErr w:type="spellEnd"/>
      <w:r w:rsidRPr="00470ACA">
        <w:rPr>
          <w:rFonts w:cstheme="minorHAnsi"/>
          <w:sz w:val="21"/>
          <w:szCs w:val="21"/>
          <w:lang w:val="en-US"/>
        </w:rPr>
        <w:t xml:space="preserve"> viewed in funding decisions. Applicants should consider relevant IP arrangements – </w:t>
      </w:r>
      <w:r w:rsidR="007447A0" w:rsidRPr="00470ACA">
        <w:rPr>
          <w:sz w:val="21"/>
          <w:szCs w:val="21"/>
        </w:rPr>
        <w:t xml:space="preserve">and </w:t>
      </w:r>
      <w:r w:rsidR="007447A0">
        <w:rPr>
          <w:sz w:val="21"/>
          <w:szCs w:val="21"/>
        </w:rPr>
        <w:t xml:space="preserve">Jonathan Watkins of </w:t>
      </w:r>
      <w:r w:rsidR="007447A0" w:rsidRPr="00470ACA">
        <w:rPr>
          <w:sz w:val="21"/>
          <w:szCs w:val="21"/>
        </w:rPr>
        <w:t>Alta Innovations (</w:t>
      </w:r>
      <w:hyperlink r:id="rId15" w:history="1">
        <w:r w:rsidR="007447A0" w:rsidRPr="00470ACA">
          <w:rPr>
            <w:rStyle w:val="Hyperlink"/>
            <w:sz w:val="21"/>
            <w:szCs w:val="21"/>
          </w:rPr>
          <w:t>j.watkins@alta.bham.ac.uk</w:t>
        </w:r>
      </w:hyperlink>
      <w:r w:rsidR="007447A0" w:rsidRPr="00470ACA">
        <w:rPr>
          <w:sz w:val="21"/>
          <w:szCs w:val="21"/>
        </w:rPr>
        <w:t>)</w:t>
      </w:r>
      <w:r w:rsidR="007447A0">
        <w:rPr>
          <w:sz w:val="21"/>
          <w:szCs w:val="21"/>
        </w:rPr>
        <w:t xml:space="preserve"> </w:t>
      </w:r>
      <w:r w:rsidRPr="00470ACA">
        <w:rPr>
          <w:rFonts w:cstheme="minorHAnsi"/>
          <w:sz w:val="21"/>
          <w:szCs w:val="21"/>
          <w:lang w:val="en-US"/>
        </w:rPr>
        <w:t>can advise on this – but should also be assured that projects and PTGs will be covered by confidentiality agreements that will protect IP and these relationships.</w:t>
      </w:r>
    </w:p>
    <w:sectPr w:rsidR="00A80BB6" w:rsidRPr="00470ACA" w:rsidSect="0021532A">
      <w:headerReference w:type="default" r:id="rId16"/>
      <w:footerReference w:type="default" r:id="rId17"/>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03" w:rsidRDefault="008D7803" w:rsidP="00EC7C2D">
      <w:pPr>
        <w:spacing w:after="0" w:line="240" w:lineRule="auto"/>
      </w:pPr>
      <w:r>
        <w:separator/>
      </w:r>
    </w:p>
  </w:endnote>
  <w:endnote w:type="continuationSeparator" w:id="0">
    <w:p w:rsidR="008D7803" w:rsidRDefault="008D7803" w:rsidP="00EC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1C" w:rsidRDefault="009C5D1C" w:rsidP="0021532A">
    <w:pPr>
      <w:pStyle w:val="Header"/>
      <w:rPr>
        <w:sz w:val="20"/>
        <w:szCs w:val="20"/>
      </w:rPr>
    </w:pPr>
  </w:p>
  <w:p w:rsidR="0021532A" w:rsidRPr="007B554E" w:rsidRDefault="0021532A" w:rsidP="0021532A">
    <w:pPr>
      <w:pStyle w:val="Header"/>
      <w:rPr>
        <w:sz w:val="20"/>
        <w:szCs w:val="20"/>
      </w:rPr>
    </w:pPr>
    <w:r w:rsidRPr="007B554E">
      <w:rPr>
        <w:sz w:val="20"/>
        <w:szCs w:val="20"/>
      </w:rPr>
      <w:t>MRC Confidence in Concept, 201</w:t>
    </w:r>
    <w:r w:rsidR="00FF7E24">
      <w:rPr>
        <w:sz w:val="20"/>
        <w:szCs w:val="20"/>
      </w:rPr>
      <w:t>6</w:t>
    </w:r>
    <w:r w:rsidRPr="007B554E">
      <w:rPr>
        <w:sz w:val="20"/>
        <w:szCs w:val="20"/>
      </w:rPr>
      <w:t>/1</w:t>
    </w:r>
    <w:r w:rsidR="00FF7E24">
      <w:rPr>
        <w:sz w:val="20"/>
        <w:szCs w:val="20"/>
      </w:rPr>
      <w:t>7</w:t>
    </w:r>
    <w:r w:rsidRPr="007B554E">
      <w:rPr>
        <w:sz w:val="20"/>
        <w:szCs w:val="20"/>
      </w:rPr>
      <w:t xml:space="preserve"> Fund </w:t>
    </w:r>
    <w:r w:rsidR="007C195E">
      <w:rPr>
        <w:sz w:val="20"/>
        <w:szCs w:val="20"/>
      </w:rPr>
      <w:t>Call 2</w:t>
    </w:r>
    <w:r w:rsidRPr="007B554E">
      <w:rPr>
        <w:sz w:val="20"/>
        <w:szCs w:val="20"/>
      </w:rPr>
      <w:t xml:space="preserve">– </w:t>
    </w:r>
    <w:r>
      <w:rPr>
        <w:sz w:val="20"/>
        <w:szCs w:val="20"/>
      </w:rPr>
      <w:t>Guidance</w:t>
    </w:r>
    <w:r w:rsidRPr="007B554E">
      <w:rPr>
        <w:sz w:val="20"/>
        <w:szCs w:val="20"/>
      </w:rPr>
      <w:t xml:space="preserve"> </w:t>
    </w:r>
    <w:r w:rsidRPr="007B554E">
      <w:rPr>
        <w:sz w:val="20"/>
        <w:szCs w:val="20"/>
      </w:rPr>
      <w:ptab w:relativeTo="margin" w:alignment="right" w:leader="none"/>
    </w:r>
    <w:r w:rsidRPr="007B554E">
      <w:rPr>
        <w:sz w:val="20"/>
        <w:szCs w:val="20"/>
      </w:rPr>
      <w:t>Issue</w:t>
    </w:r>
    <w:r w:rsidR="007C195E">
      <w:rPr>
        <w:sz w:val="20"/>
        <w:szCs w:val="20"/>
      </w:rPr>
      <w:t>1</w:t>
    </w:r>
    <w:r w:rsidRPr="007B554E">
      <w:rPr>
        <w:sz w:val="20"/>
        <w:szCs w:val="20"/>
      </w:rPr>
      <w:t>_0</w:t>
    </w:r>
    <w:r w:rsidR="007C195E">
      <w:rPr>
        <w:sz w:val="20"/>
        <w:szCs w:val="20"/>
      </w:rPr>
      <w:t>9</w:t>
    </w:r>
    <w:r w:rsidRPr="007B554E">
      <w:rPr>
        <w:sz w:val="20"/>
        <w:szCs w:val="20"/>
      </w:rPr>
      <w:t>.1</w:t>
    </w:r>
    <w:r w:rsidR="00FF7E24">
      <w:rPr>
        <w:sz w:val="20"/>
        <w:szCs w:val="20"/>
      </w:rPr>
      <w:t>6</w:t>
    </w:r>
  </w:p>
  <w:p w:rsidR="00DE5C60" w:rsidRPr="0021532A" w:rsidRDefault="0021532A" w:rsidP="0021532A">
    <w:pPr>
      <w:pStyle w:val="Footer"/>
      <w:rPr>
        <w:sz w:val="20"/>
        <w:szCs w:val="20"/>
      </w:rPr>
    </w:pPr>
    <w:r w:rsidRPr="007B554E">
      <w:rPr>
        <w:sz w:val="20"/>
        <w:szCs w:val="20"/>
      </w:rPr>
      <w:t>CMDS R&amp;KTO</w:t>
    </w:r>
    <w:r w:rsidRPr="007B554E">
      <w:rPr>
        <w:sz w:val="20"/>
        <w:szCs w:val="20"/>
      </w:rPr>
      <w:ptab w:relativeTo="margin" w:alignment="center" w:leader="none"/>
    </w:r>
    <w:r w:rsidRPr="007B554E">
      <w:rPr>
        <w:sz w:val="20"/>
        <w:szCs w:val="20"/>
      </w:rPr>
      <w:ptab w:relativeTo="margin" w:alignment="right" w:leader="none"/>
    </w:r>
    <w:sdt>
      <w:sdtPr>
        <w:rPr>
          <w:sz w:val="20"/>
          <w:szCs w:val="20"/>
        </w:rPr>
        <w:id w:val="250395305"/>
        <w:docPartObj>
          <w:docPartGallery w:val="Page Numbers (Top of Page)"/>
          <w:docPartUnique/>
        </w:docPartObj>
      </w:sdtPr>
      <w:sdtEndPr/>
      <w:sdtContent>
        <w:r w:rsidRPr="007B554E">
          <w:rPr>
            <w:sz w:val="20"/>
            <w:szCs w:val="20"/>
          </w:rPr>
          <w:t xml:space="preserve">Page </w:t>
        </w:r>
        <w:r w:rsidR="00B43D72" w:rsidRPr="007B554E">
          <w:rPr>
            <w:sz w:val="20"/>
            <w:szCs w:val="20"/>
          </w:rPr>
          <w:fldChar w:fldCharType="begin"/>
        </w:r>
        <w:r w:rsidRPr="007B554E">
          <w:rPr>
            <w:sz w:val="20"/>
            <w:szCs w:val="20"/>
          </w:rPr>
          <w:instrText xml:space="preserve"> PAGE </w:instrText>
        </w:r>
        <w:r w:rsidR="00B43D72" w:rsidRPr="007B554E">
          <w:rPr>
            <w:sz w:val="20"/>
            <w:szCs w:val="20"/>
          </w:rPr>
          <w:fldChar w:fldCharType="separate"/>
        </w:r>
        <w:r w:rsidR="00765B46">
          <w:rPr>
            <w:noProof/>
            <w:sz w:val="20"/>
            <w:szCs w:val="20"/>
          </w:rPr>
          <w:t>1</w:t>
        </w:r>
        <w:r w:rsidR="00B43D72" w:rsidRPr="007B554E">
          <w:rPr>
            <w:noProof/>
            <w:sz w:val="20"/>
            <w:szCs w:val="20"/>
          </w:rPr>
          <w:fldChar w:fldCharType="end"/>
        </w:r>
        <w:r w:rsidRPr="007B554E">
          <w:rPr>
            <w:sz w:val="20"/>
            <w:szCs w:val="20"/>
          </w:rPr>
          <w:t xml:space="preserve"> of </w:t>
        </w:r>
        <w:r w:rsidR="00B43D72" w:rsidRPr="007B554E">
          <w:rPr>
            <w:sz w:val="20"/>
            <w:szCs w:val="20"/>
          </w:rPr>
          <w:fldChar w:fldCharType="begin"/>
        </w:r>
        <w:r w:rsidRPr="007B554E">
          <w:rPr>
            <w:sz w:val="20"/>
            <w:szCs w:val="20"/>
          </w:rPr>
          <w:instrText xml:space="preserve"> NUMPAGES  </w:instrText>
        </w:r>
        <w:r w:rsidR="00B43D72" w:rsidRPr="007B554E">
          <w:rPr>
            <w:sz w:val="20"/>
            <w:szCs w:val="20"/>
          </w:rPr>
          <w:fldChar w:fldCharType="separate"/>
        </w:r>
        <w:r w:rsidR="00765B46">
          <w:rPr>
            <w:noProof/>
            <w:sz w:val="20"/>
            <w:szCs w:val="20"/>
          </w:rPr>
          <w:t>2</w:t>
        </w:r>
        <w:r w:rsidR="00B43D72" w:rsidRPr="007B554E">
          <w:rPr>
            <w:noProof/>
            <w:sz w:val="20"/>
            <w:szCs w:val="20"/>
          </w:rPr>
          <w:fldChar w:fldCharType="end"/>
        </w:r>
      </w:sdtContent>
    </w:sdt>
    <w:r w:rsidRPr="007B554E">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03" w:rsidRDefault="008D7803" w:rsidP="00EC7C2D">
      <w:pPr>
        <w:spacing w:after="0" w:line="240" w:lineRule="auto"/>
      </w:pPr>
      <w:r>
        <w:separator/>
      </w:r>
    </w:p>
  </w:footnote>
  <w:footnote w:type="continuationSeparator" w:id="0">
    <w:p w:rsidR="008D7803" w:rsidRDefault="008D7803" w:rsidP="00EC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2A" w:rsidRDefault="0021532A" w:rsidP="0021532A">
    <w:pPr>
      <w:pStyle w:val="Header"/>
      <w:jc w:val="right"/>
      <w:rPr>
        <w:b/>
        <w:sz w:val="36"/>
        <w:szCs w:val="36"/>
      </w:rPr>
    </w:pPr>
    <w:r w:rsidRPr="006911BD">
      <w:rPr>
        <w:b/>
        <w:noProof/>
      </w:rPr>
      <w:drawing>
        <wp:anchor distT="0" distB="0" distL="114300" distR="114300" simplePos="0" relativeHeight="251657216" behindDoc="0" locked="0" layoutInCell="1" allowOverlap="1" wp14:anchorId="31502350" wp14:editId="6A6772B3">
          <wp:simplePos x="0" y="0"/>
          <wp:positionH relativeFrom="column">
            <wp:posOffset>-129862</wp:posOffset>
          </wp:positionH>
          <wp:positionV relativeFrom="paragraph">
            <wp:posOffset>-137626</wp:posOffset>
          </wp:positionV>
          <wp:extent cx="2395959" cy="728607"/>
          <wp:effectExtent l="0" t="0" r="4445" b="0"/>
          <wp:wrapNone/>
          <wp:docPr id="1" name="Picture 1" descr="http://www.nawe.co.uk/Private/27999/Live/image/p-1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we.co.uk/Private/27999/Live/image/p-1855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6" t="31915" b="39210"/>
                  <a:stretch/>
                </pic:blipFill>
                <pic:spPr bwMode="auto">
                  <a:xfrm>
                    <a:off x="0" y="0"/>
                    <a:ext cx="2395959" cy="728607"/>
                  </a:xfrm>
                  <a:prstGeom prst="rect">
                    <a:avLst/>
                  </a:prstGeom>
                  <a:noFill/>
                  <a:ln>
                    <a:noFill/>
                  </a:ln>
                  <a:extLst>
                    <a:ext uri="{53640926-AAD7-44D8-BBD7-CCE9431645EC}">
                      <a14:shadowObscured xmlns:a14="http://schemas.microsoft.com/office/drawing/2010/main"/>
                    </a:ext>
                  </a:extLst>
                </pic:spPr>
              </pic:pic>
            </a:graphicData>
          </a:graphic>
        </wp:anchor>
      </w:drawing>
    </w:r>
    <w:r w:rsidRPr="006911BD">
      <w:rPr>
        <w:b/>
      </w:rPr>
      <w:t xml:space="preserve"> </w:t>
    </w:r>
    <w:r w:rsidRPr="006911BD">
      <w:rPr>
        <w:b/>
        <w:sz w:val="36"/>
        <w:szCs w:val="36"/>
      </w:rPr>
      <w:t>MRC Confidence in Concept Fund</w:t>
    </w:r>
  </w:p>
  <w:p w:rsidR="0021532A" w:rsidRPr="006911BD" w:rsidRDefault="0021532A" w:rsidP="0021532A">
    <w:pPr>
      <w:pStyle w:val="Header"/>
      <w:jc w:val="right"/>
      <w:rPr>
        <w:b/>
      </w:rPr>
    </w:pPr>
    <w:r>
      <w:rPr>
        <w:b/>
        <w:sz w:val="36"/>
        <w:szCs w:val="36"/>
      </w:rPr>
      <w:t>Guidance for Applicants</w:t>
    </w:r>
  </w:p>
  <w:p w:rsidR="0021532A" w:rsidRDefault="0021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2E"/>
    <w:multiLevelType w:val="hybridMultilevel"/>
    <w:tmpl w:val="B81A657E"/>
    <w:lvl w:ilvl="0" w:tplc="292E2A5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3C3"/>
    <w:multiLevelType w:val="hybridMultilevel"/>
    <w:tmpl w:val="066844A0"/>
    <w:lvl w:ilvl="0" w:tplc="09683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A803EA"/>
    <w:multiLevelType w:val="hybridMultilevel"/>
    <w:tmpl w:val="BF50FE26"/>
    <w:lvl w:ilvl="0" w:tplc="2F7AE4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E5386"/>
    <w:multiLevelType w:val="multilevel"/>
    <w:tmpl w:val="E77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40C70"/>
    <w:multiLevelType w:val="hybridMultilevel"/>
    <w:tmpl w:val="4AAA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900C8"/>
    <w:multiLevelType w:val="hybridMultilevel"/>
    <w:tmpl w:val="35F42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670A41"/>
    <w:multiLevelType w:val="hybridMultilevel"/>
    <w:tmpl w:val="0538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E2222"/>
    <w:multiLevelType w:val="hybridMultilevel"/>
    <w:tmpl w:val="363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53FB0"/>
    <w:multiLevelType w:val="hybridMultilevel"/>
    <w:tmpl w:val="2062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F4454"/>
    <w:multiLevelType w:val="hybridMultilevel"/>
    <w:tmpl w:val="3A7A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7632D"/>
    <w:multiLevelType w:val="hybridMultilevel"/>
    <w:tmpl w:val="820E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52C3F"/>
    <w:multiLevelType w:val="hybridMultilevel"/>
    <w:tmpl w:val="44E4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4"/>
  </w:num>
  <w:num w:numId="5">
    <w:abstractNumId w:val="0"/>
  </w:num>
  <w:num w:numId="6">
    <w:abstractNumId w:val="7"/>
  </w:num>
  <w:num w:numId="7">
    <w:abstractNumId w:val="2"/>
  </w:num>
  <w:num w:numId="8">
    <w:abstractNumId w:val="6"/>
  </w:num>
  <w:num w:numId="9">
    <w:abstractNumId w:val="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FF"/>
    <w:rsid w:val="000101CD"/>
    <w:rsid w:val="00015705"/>
    <w:rsid w:val="000B0EA8"/>
    <w:rsid w:val="000C54EE"/>
    <w:rsid w:val="000F7685"/>
    <w:rsid w:val="00100D33"/>
    <w:rsid w:val="00107678"/>
    <w:rsid w:val="0012083E"/>
    <w:rsid w:val="001244B4"/>
    <w:rsid w:val="00124A73"/>
    <w:rsid w:val="001D256A"/>
    <w:rsid w:val="001E32FF"/>
    <w:rsid w:val="001E63D7"/>
    <w:rsid w:val="001F6407"/>
    <w:rsid w:val="001F670F"/>
    <w:rsid w:val="00204245"/>
    <w:rsid w:val="0020604C"/>
    <w:rsid w:val="00206884"/>
    <w:rsid w:val="0021532A"/>
    <w:rsid w:val="00217D63"/>
    <w:rsid w:val="002662D1"/>
    <w:rsid w:val="00281F43"/>
    <w:rsid w:val="002B6635"/>
    <w:rsid w:val="002E4A10"/>
    <w:rsid w:val="00304F3E"/>
    <w:rsid w:val="00331E0B"/>
    <w:rsid w:val="00333DA5"/>
    <w:rsid w:val="00356E73"/>
    <w:rsid w:val="003633DC"/>
    <w:rsid w:val="00373DE9"/>
    <w:rsid w:val="003A3062"/>
    <w:rsid w:val="003A3DAD"/>
    <w:rsid w:val="003B36A8"/>
    <w:rsid w:val="003B3A16"/>
    <w:rsid w:val="003E2669"/>
    <w:rsid w:val="003E59A5"/>
    <w:rsid w:val="003E69D9"/>
    <w:rsid w:val="003E7FB9"/>
    <w:rsid w:val="00403ED4"/>
    <w:rsid w:val="004115B4"/>
    <w:rsid w:val="004313F3"/>
    <w:rsid w:val="004320AD"/>
    <w:rsid w:val="00455C8F"/>
    <w:rsid w:val="004575AC"/>
    <w:rsid w:val="00470ACA"/>
    <w:rsid w:val="004769AB"/>
    <w:rsid w:val="00487440"/>
    <w:rsid w:val="004C42F5"/>
    <w:rsid w:val="004D1B7A"/>
    <w:rsid w:val="004F26A6"/>
    <w:rsid w:val="005047F3"/>
    <w:rsid w:val="00523B11"/>
    <w:rsid w:val="00551643"/>
    <w:rsid w:val="00551B75"/>
    <w:rsid w:val="005854D9"/>
    <w:rsid w:val="005948EA"/>
    <w:rsid w:val="005A6777"/>
    <w:rsid w:val="005B0680"/>
    <w:rsid w:val="005D2100"/>
    <w:rsid w:val="005D6A81"/>
    <w:rsid w:val="00606895"/>
    <w:rsid w:val="00615ADC"/>
    <w:rsid w:val="0062173B"/>
    <w:rsid w:val="00641B45"/>
    <w:rsid w:val="006569D2"/>
    <w:rsid w:val="00696175"/>
    <w:rsid w:val="006B0706"/>
    <w:rsid w:val="006C7024"/>
    <w:rsid w:val="00700353"/>
    <w:rsid w:val="007047AC"/>
    <w:rsid w:val="00716C31"/>
    <w:rsid w:val="007372AB"/>
    <w:rsid w:val="00740349"/>
    <w:rsid w:val="00740556"/>
    <w:rsid w:val="007447A0"/>
    <w:rsid w:val="0076270D"/>
    <w:rsid w:val="00765B46"/>
    <w:rsid w:val="007711FD"/>
    <w:rsid w:val="00782C29"/>
    <w:rsid w:val="00787EB0"/>
    <w:rsid w:val="007A1C95"/>
    <w:rsid w:val="007A5585"/>
    <w:rsid w:val="007A71A8"/>
    <w:rsid w:val="007B64BB"/>
    <w:rsid w:val="007C195E"/>
    <w:rsid w:val="007C4748"/>
    <w:rsid w:val="007C61CD"/>
    <w:rsid w:val="007D2DFA"/>
    <w:rsid w:val="0081219F"/>
    <w:rsid w:val="008276F2"/>
    <w:rsid w:val="00827E8F"/>
    <w:rsid w:val="008418F8"/>
    <w:rsid w:val="00890A86"/>
    <w:rsid w:val="008B2B02"/>
    <w:rsid w:val="008D7803"/>
    <w:rsid w:val="0090166C"/>
    <w:rsid w:val="0092202E"/>
    <w:rsid w:val="009221E9"/>
    <w:rsid w:val="009348F3"/>
    <w:rsid w:val="00935089"/>
    <w:rsid w:val="00963728"/>
    <w:rsid w:val="00977643"/>
    <w:rsid w:val="009A5425"/>
    <w:rsid w:val="009B2C0B"/>
    <w:rsid w:val="009B51D8"/>
    <w:rsid w:val="009C4CD5"/>
    <w:rsid w:val="009C5D1C"/>
    <w:rsid w:val="009E37F1"/>
    <w:rsid w:val="009F58DA"/>
    <w:rsid w:val="009F63BC"/>
    <w:rsid w:val="00A01E94"/>
    <w:rsid w:val="00A05D84"/>
    <w:rsid w:val="00A06534"/>
    <w:rsid w:val="00A17C4C"/>
    <w:rsid w:val="00A20838"/>
    <w:rsid w:val="00A21F93"/>
    <w:rsid w:val="00A24907"/>
    <w:rsid w:val="00A33B38"/>
    <w:rsid w:val="00A34575"/>
    <w:rsid w:val="00A40C5F"/>
    <w:rsid w:val="00A55074"/>
    <w:rsid w:val="00A576ED"/>
    <w:rsid w:val="00A63649"/>
    <w:rsid w:val="00A70E39"/>
    <w:rsid w:val="00A75583"/>
    <w:rsid w:val="00A80BB6"/>
    <w:rsid w:val="00AA1FBA"/>
    <w:rsid w:val="00AA338E"/>
    <w:rsid w:val="00AC11AE"/>
    <w:rsid w:val="00AD0033"/>
    <w:rsid w:val="00AF26B3"/>
    <w:rsid w:val="00B023CD"/>
    <w:rsid w:val="00B43D72"/>
    <w:rsid w:val="00B86CC1"/>
    <w:rsid w:val="00BA50EB"/>
    <w:rsid w:val="00BA63DF"/>
    <w:rsid w:val="00BB243D"/>
    <w:rsid w:val="00BC5DA4"/>
    <w:rsid w:val="00BC672F"/>
    <w:rsid w:val="00BE1868"/>
    <w:rsid w:val="00C04DF3"/>
    <w:rsid w:val="00C71527"/>
    <w:rsid w:val="00C776BA"/>
    <w:rsid w:val="00C84847"/>
    <w:rsid w:val="00C90408"/>
    <w:rsid w:val="00CA7091"/>
    <w:rsid w:val="00CB2590"/>
    <w:rsid w:val="00CC1CD8"/>
    <w:rsid w:val="00CD609D"/>
    <w:rsid w:val="00CD7C9A"/>
    <w:rsid w:val="00CF7298"/>
    <w:rsid w:val="00D32860"/>
    <w:rsid w:val="00D51C46"/>
    <w:rsid w:val="00D56D42"/>
    <w:rsid w:val="00D65164"/>
    <w:rsid w:val="00D84BA3"/>
    <w:rsid w:val="00DC39FE"/>
    <w:rsid w:val="00DC73E4"/>
    <w:rsid w:val="00DE5C60"/>
    <w:rsid w:val="00DE790B"/>
    <w:rsid w:val="00DF7E06"/>
    <w:rsid w:val="00E1053C"/>
    <w:rsid w:val="00E21ECE"/>
    <w:rsid w:val="00E222BF"/>
    <w:rsid w:val="00E34CDA"/>
    <w:rsid w:val="00E36FDD"/>
    <w:rsid w:val="00E419F3"/>
    <w:rsid w:val="00E44F22"/>
    <w:rsid w:val="00E464C3"/>
    <w:rsid w:val="00EA4E7E"/>
    <w:rsid w:val="00EA603C"/>
    <w:rsid w:val="00EC4AD4"/>
    <w:rsid w:val="00EC7C2D"/>
    <w:rsid w:val="00ED19F8"/>
    <w:rsid w:val="00F156EA"/>
    <w:rsid w:val="00F22094"/>
    <w:rsid w:val="00F362E0"/>
    <w:rsid w:val="00F55D96"/>
    <w:rsid w:val="00F6218B"/>
    <w:rsid w:val="00F72B3F"/>
    <w:rsid w:val="00F747B4"/>
    <w:rsid w:val="00FA71CD"/>
    <w:rsid w:val="00FC06D7"/>
    <w:rsid w:val="00FD1935"/>
    <w:rsid w:val="00FD3C5F"/>
    <w:rsid w:val="00FF0E22"/>
    <w:rsid w:val="00FF2D0F"/>
    <w:rsid w:val="00FF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A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64"/>
    <w:pPr>
      <w:ind w:left="720"/>
      <w:contextualSpacing/>
    </w:pPr>
  </w:style>
  <w:style w:type="character" w:customStyle="1" w:styleId="Heading1Char">
    <w:name w:val="Heading 1 Char"/>
    <w:basedOn w:val="DefaultParagraphFont"/>
    <w:link w:val="Heading1"/>
    <w:uiPriority w:val="9"/>
    <w:rsid w:val="005D6A8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D6A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D6A8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A50EB"/>
    <w:rPr>
      <w:color w:val="0000FF" w:themeColor="hyperlink"/>
      <w:u w:val="single"/>
    </w:rPr>
  </w:style>
  <w:style w:type="paragraph" w:styleId="BalloonText">
    <w:name w:val="Balloon Text"/>
    <w:basedOn w:val="Normal"/>
    <w:link w:val="BalloonTextChar"/>
    <w:uiPriority w:val="99"/>
    <w:semiHidden/>
    <w:unhideWhenUsed/>
    <w:rsid w:val="004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AC"/>
    <w:rPr>
      <w:rFonts w:ascii="Tahoma" w:hAnsi="Tahoma" w:cs="Tahoma"/>
      <w:sz w:val="16"/>
      <w:szCs w:val="16"/>
      <w:lang w:val="en-GB"/>
    </w:rPr>
  </w:style>
  <w:style w:type="paragraph" w:styleId="Header">
    <w:name w:val="header"/>
    <w:basedOn w:val="Normal"/>
    <w:link w:val="HeaderChar"/>
    <w:uiPriority w:val="99"/>
    <w:unhideWhenUsed/>
    <w:rsid w:val="00EC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2D"/>
    <w:rPr>
      <w:lang w:val="en-GB"/>
    </w:rPr>
  </w:style>
  <w:style w:type="paragraph" w:styleId="Footer">
    <w:name w:val="footer"/>
    <w:basedOn w:val="Normal"/>
    <w:link w:val="FooterChar"/>
    <w:uiPriority w:val="99"/>
    <w:unhideWhenUsed/>
    <w:rsid w:val="00EC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2D"/>
    <w:rPr>
      <w:lang w:val="en-GB"/>
    </w:rPr>
  </w:style>
  <w:style w:type="character" w:customStyle="1" w:styleId="Heading4Char">
    <w:name w:val="Heading 4 Char"/>
    <w:basedOn w:val="DefaultParagraphFont"/>
    <w:link w:val="Heading4"/>
    <w:uiPriority w:val="9"/>
    <w:rsid w:val="003E7FB9"/>
    <w:rPr>
      <w:rFonts w:asciiTheme="majorHAnsi" w:eastAsiaTheme="majorEastAsia" w:hAnsiTheme="majorHAnsi" w:cstheme="majorBidi"/>
      <w:b/>
      <w:bCs/>
      <w:i/>
      <w:iCs/>
      <w:color w:val="4F81BD" w:themeColor="accent1"/>
      <w:lang w:val="en-GB"/>
    </w:rPr>
  </w:style>
  <w:style w:type="character" w:styleId="CommentReference">
    <w:name w:val="annotation reference"/>
    <w:basedOn w:val="DefaultParagraphFont"/>
    <w:uiPriority w:val="99"/>
    <w:semiHidden/>
    <w:unhideWhenUsed/>
    <w:rsid w:val="001F6407"/>
    <w:rPr>
      <w:sz w:val="16"/>
      <w:szCs w:val="16"/>
    </w:rPr>
  </w:style>
  <w:style w:type="paragraph" w:styleId="CommentText">
    <w:name w:val="annotation text"/>
    <w:basedOn w:val="Normal"/>
    <w:link w:val="CommentTextChar"/>
    <w:uiPriority w:val="99"/>
    <w:semiHidden/>
    <w:unhideWhenUsed/>
    <w:rsid w:val="001F6407"/>
    <w:pPr>
      <w:spacing w:line="240" w:lineRule="auto"/>
    </w:pPr>
    <w:rPr>
      <w:sz w:val="20"/>
      <w:szCs w:val="20"/>
    </w:rPr>
  </w:style>
  <w:style w:type="character" w:customStyle="1" w:styleId="CommentTextChar">
    <w:name w:val="Comment Text Char"/>
    <w:basedOn w:val="DefaultParagraphFont"/>
    <w:link w:val="CommentText"/>
    <w:uiPriority w:val="99"/>
    <w:semiHidden/>
    <w:rsid w:val="001F6407"/>
    <w:rPr>
      <w:sz w:val="20"/>
      <w:szCs w:val="20"/>
      <w:lang w:val="en-GB"/>
    </w:rPr>
  </w:style>
  <w:style w:type="paragraph" w:styleId="CommentSubject">
    <w:name w:val="annotation subject"/>
    <w:basedOn w:val="CommentText"/>
    <w:next w:val="CommentText"/>
    <w:link w:val="CommentSubjectChar"/>
    <w:uiPriority w:val="99"/>
    <w:semiHidden/>
    <w:unhideWhenUsed/>
    <w:rsid w:val="001F6407"/>
    <w:rPr>
      <w:b/>
      <w:bCs/>
    </w:rPr>
  </w:style>
  <w:style w:type="character" w:customStyle="1" w:styleId="CommentSubjectChar">
    <w:name w:val="Comment Subject Char"/>
    <w:basedOn w:val="CommentTextChar"/>
    <w:link w:val="CommentSubject"/>
    <w:uiPriority w:val="99"/>
    <w:semiHidden/>
    <w:rsid w:val="001F6407"/>
    <w:rPr>
      <w:b/>
      <w:bCs/>
      <w:sz w:val="20"/>
      <w:szCs w:val="20"/>
      <w:lang w:val="en-GB"/>
    </w:rPr>
  </w:style>
  <w:style w:type="table" w:styleId="TableGrid">
    <w:name w:val="Table Grid"/>
    <w:basedOn w:val="TableNormal"/>
    <w:uiPriority w:val="59"/>
    <w:rsid w:val="0021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A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A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64"/>
    <w:pPr>
      <w:ind w:left="720"/>
      <w:contextualSpacing/>
    </w:pPr>
  </w:style>
  <w:style w:type="character" w:customStyle="1" w:styleId="Heading1Char">
    <w:name w:val="Heading 1 Char"/>
    <w:basedOn w:val="DefaultParagraphFont"/>
    <w:link w:val="Heading1"/>
    <w:uiPriority w:val="9"/>
    <w:rsid w:val="005D6A8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D6A8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5D6A81"/>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BA50EB"/>
    <w:rPr>
      <w:color w:val="0000FF" w:themeColor="hyperlink"/>
      <w:u w:val="single"/>
    </w:rPr>
  </w:style>
  <w:style w:type="paragraph" w:styleId="BalloonText">
    <w:name w:val="Balloon Text"/>
    <w:basedOn w:val="Normal"/>
    <w:link w:val="BalloonTextChar"/>
    <w:uiPriority w:val="99"/>
    <w:semiHidden/>
    <w:unhideWhenUsed/>
    <w:rsid w:val="00457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AC"/>
    <w:rPr>
      <w:rFonts w:ascii="Tahoma" w:hAnsi="Tahoma" w:cs="Tahoma"/>
      <w:sz w:val="16"/>
      <w:szCs w:val="16"/>
      <w:lang w:val="en-GB"/>
    </w:rPr>
  </w:style>
  <w:style w:type="paragraph" w:styleId="Header">
    <w:name w:val="header"/>
    <w:basedOn w:val="Normal"/>
    <w:link w:val="HeaderChar"/>
    <w:uiPriority w:val="99"/>
    <w:unhideWhenUsed/>
    <w:rsid w:val="00EC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2D"/>
    <w:rPr>
      <w:lang w:val="en-GB"/>
    </w:rPr>
  </w:style>
  <w:style w:type="paragraph" w:styleId="Footer">
    <w:name w:val="footer"/>
    <w:basedOn w:val="Normal"/>
    <w:link w:val="FooterChar"/>
    <w:uiPriority w:val="99"/>
    <w:unhideWhenUsed/>
    <w:rsid w:val="00EC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2D"/>
    <w:rPr>
      <w:lang w:val="en-GB"/>
    </w:rPr>
  </w:style>
  <w:style w:type="character" w:customStyle="1" w:styleId="Heading4Char">
    <w:name w:val="Heading 4 Char"/>
    <w:basedOn w:val="DefaultParagraphFont"/>
    <w:link w:val="Heading4"/>
    <w:uiPriority w:val="9"/>
    <w:rsid w:val="003E7FB9"/>
    <w:rPr>
      <w:rFonts w:asciiTheme="majorHAnsi" w:eastAsiaTheme="majorEastAsia" w:hAnsiTheme="majorHAnsi" w:cstheme="majorBidi"/>
      <w:b/>
      <w:bCs/>
      <w:i/>
      <w:iCs/>
      <w:color w:val="4F81BD" w:themeColor="accent1"/>
      <w:lang w:val="en-GB"/>
    </w:rPr>
  </w:style>
  <w:style w:type="character" w:styleId="CommentReference">
    <w:name w:val="annotation reference"/>
    <w:basedOn w:val="DefaultParagraphFont"/>
    <w:uiPriority w:val="99"/>
    <w:semiHidden/>
    <w:unhideWhenUsed/>
    <w:rsid w:val="001F6407"/>
    <w:rPr>
      <w:sz w:val="16"/>
      <w:szCs w:val="16"/>
    </w:rPr>
  </w:style>
  <w:style w:type="paragraph" w:styleId="CommentText">
    <w:name w:val="annotation text"/>
    <w:basedOn w:val="Normal"/>
    <w:link w:val="CommentTextChar"/>
    <w:uiPriority w:val="99"/>
    <w:semiHidden/>
    <w:unhideWhenUsed/>
    <w:rsid w:val="001F6407"/>
    <w:pPr>
      <w:spacing w:line="240" w:lineRule="auto"/>
    </w:pPr>
    <w:rPr>
      <w:sz w:val="20"/>
      <w:szCs w:val="20"/>
    </w:rPr>
  </w:style>
  <w:style w:type="character" w:customStyle="1" w:styleId="CommentTextChar">
    <w:name w:val="Comment Text Char"/>
    <w:basedOn w:val="DefaultParagraphFont"/>
    <w:link w:val="CommentText"/>
    <w:uiPriority w:val="99"/>
    <w:semiHidden/>
    <w:rsid w:val="001F6407"/>
    <w:rPr>
      <w:sz w:val="20"/>
      <w:szCs w:val="20"/>
      <w:lang w:val="en-GB"/>
    </w:rPr>
  </w:style>
  <w:style w:type="paragraph" w:styleId="CommentSubject">
    <w:name w:val="annotation subject"/>
    <w:basedOn w:val="CommentText"/>
    <w:next w:val="CommentText"/>
    <w:link w:val="CommentSubjectChar"/>
    <w:uiPriority w:val="99"/>
    <w:semiHidden/>
    <w:unhideWhenUsed/>
    <w:rsid w:val="001F6407"/>
    <w:rPr>
      <w:b/>
      <w:bCs/>
    </w:rPr>
  </w:style>
  <w:style w:type="character" w:customStyle="1" w:styleId="CommentSubjectChar">
    <w:name w:val="Comment Subject Char"/>
    <w:basedOn w:val="CommentTextChar"/>
    <w:link w:val="CommentSubject"/>
    <w:uiPriority w:val="99"/>
    <w:semiHidden/>
    <w:rsid w:val="001F6407"/>
    <w:rPr>
      <w:b/>
      <w:bCs/>
      <w:sz w:val="20"/>
      <w:szCs w:val="20"/>
      <w:lang w:val="en-GB"/>
    </w:rPr>
  </w:style>
  <w:style w:type="table" w:styleId="TableGrid">
    <w:name w:val="Table Grid"/>
    <w:basedOn w:val="TableNormal"/>
    <w:uiPriority w:val="59"/>
    <w:rsid w:val="0021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3613">
      <w:bodyDiv w:val="1"/>
      <w:marLeft w:val="0"/>
      <w:marRight w:val="0"/>
      <w:marTop w:val="0"/>
      <w:marBottom w:val="0"/>
      <w:divBdr>
        <w:top w:val="none" w:sz="0" w:space="0" w:color="auto"/>
        <w:left w:val="none" w:sz="0" w:space="0" w:color="auto"/>
        <w:bottom w:val="none" w:sz="0" w:space="0" w:color="auto"/>
        <w:right w:val="none" w:sz="0" w:space="0" w:color="auto"/>
      </w:divBdr>
    </w:div>
    <w:div w:id="198711918">
      <w:bodyDiv w:val="1"/>
      <w:marLeft w:val="0"/>
      <w:marRight w:val="0"/>
      <w:marTop w:val="0"/>
      <w:marBottom w:val="0"/>
      <w:divBdr>
        <w:top w:val="none" w:sz="0" w:space="0" w:color="auto"/>
        <w:left w:val="none" w:sz="0" w:space="0" w:color="auto"/>
        <w:bottom w:val="none" w:sz="0" w:space="0" w:color="auto"/>
        <w:right w:val="none" w:sz="0" w:space="0" w:color="auto"/>
      </w:divBdr>
    </w:div>
    <w:div w:id="366683428">
      <w:bodyDiv w:val="1"/>
      <w:marLeft w:val="0"/>
      <w:marRight w:val="0"/>
      <w:marTop w:val="0"/>
      <w:marBottom w:val="0"/>
      <w:divBdr>
        <w:top w:val="none" w:sz="0" w:space="0" w:color="auto"/>
        <w:left w:val="none" w:sz="0" w:space="0" w:color="auto"/>
        <w:bottom w:val="none" w:sz="0" w:space="0" w:color="auto"/>
        <w:right w:val="none" w:sz="0" w:space="0" w:color="auto"/>
      </w:divBdr>
    </w:div>
    <w:div w:id="576135853">
      <w:bodyDiv w:val="1"/>
      <w:marLeft w:val="0"/>
      <w:marRight w:val="0"/>
      <w:marTop w:val="0"/>
      <w:marBottom w:val="0"/>
      <w:divBdr>
        <w:top w:val="none" w:sz="0" w:space="0" w:color="auto"/>
        <w:left w:val="none" w:sz="0" w:space="0" w:color="auto"/>
        <w:bottom w:val="none" w:sz="0" w:space="0" w:color="auto"/>
        <w:right w:val="none" w:sz="0" w:space="0" w:color="auto"/>
      </w:divBdr>
    </w:div>
    <w:div w:id="690765926">
      <w:bodyDiv w:val="1"/>
      <w:marLeft w:val="0"/>
      <w:marRight w:val="0"/>
      <w:marTop w:val="0"/>
      <w:marBottom w:val="0"/>
      <w:divBdr>
        <w:top w:val="none" w:sz="0" w:space="0" w:color="auto"/>
        <w:left w:val="none" w:sz="0" w:space="0" w:color="auto"/>
        <w:bottom w:val="none" w:sz="0" w:space="0" w:color="auto"/>
        <w:right w:val="none" w:sz="0" w:space="0" w:color="auto"/>
      </w:divBdr>
    </w:div>
    <w:div w:id="841628850">
      <w:bodyDiv w:val="1"/>
      <w:marLeft w:val="0"/>
      <w:marRight w:val="0"/>
      <w:marTop w:val="0"/>
      <w:marBottom w:val="0"/>
      <w:divBdr>
        <w:top w:val="none" w:sz="0" w:space="0" w:color="auto"/>
        <w:left w:val="none" w:sz="0" w:space="0" w:color="auto"/>
        <w:bottom w:val="none" w:sz="0" w:space="0" w:color="auto"/>
        <w:right w:val="none" w:sz="0" w:space="0" w:color="auto"/>
      </w:divBdr>
    </w:div>
    <w:div w:id="860437828">
      <w:bodyDiv w:val="1"/>
      <w:marLeft w:val="0"/>
      <w:marRight w:val="0"/>
      <w:marTop w:val="0"/>
      <w:marBottom w:val="0"/>
      <w:divBdr>
        <w:top w:val="none" w:sz="0" w:space="0" w:color="auto"/>
        <w:left w:val="none" w:sz="0" w:space="0" w:color="auto"/>
        <w:bottom w:val="none" w:sz="0" w:space="0" w:color="auto"/>
        <w:right w:val="none" w:sz="0" w:space="0" w:color="auto"/>
      </w:divBdr>
    </w:div>
    <w:div w:id="978148120">
      <w:bodyDiv w:val="1"/>
      <w:marLeft w:val="0"/>
      <w:marRight w:val="0"/>
      <w:marTop w:val="0"/>
      <w:marBottom w:val="0"/>
      <w:divBdr>
        <w:top w:val="none" w:sz="0" w:space="0" w:color="auto"/>
        <w:left w:val="none" w:sz="0" w:space="0" w:color="auto"/>
        <w:bottom w:val="none" w:sz="0" w:space="0" w:color="auto"/>
        <w:right w:val="none" w:sz="0" w:space="0" w:color="auto"/>
      </w:divBdr>
    </w:div>
    <w:div w:id="1178615428">
      <w:bodyDiv w:val="1"/>
      <w:marLeft w:val="0"/>
      <w:marRight w:val="0"/>
      <w:marTop w:val="0"/>
      <w:marBottom w:val="0"/>
      <w:divBdr>
        <w:top w:val="none" w:sz="0" w:space="0" w:color="auto"/>
        <w:left w:val="none" w:sz="0" w:space="0" w:color="auto"/>
        <w:bottom w:val="none" w:sz="0" w:space="0" w:color="auto"/>
        <w:right w:val="none" w:sz="0" w:space="0" w:color="auto"/>
      </w:divBdr>
    </w:div>
    <w:div w:id="1515149809">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ac.uk/funding/browse/developmental-pathway-funding-scheme/" TargetMode="External"/><Relationship Id="rId13" Type="http://schemas.openxmlformats.org/officeDocument/2006/relationships/hyperlink" Target="mailto:j.watkins@alta.bham.ac.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m.fenlon@bham.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hr.ac.uk/funding/invention-for-innovation.htm" TargetMode="External"/><Relationship Id="rId5" Type="http://schemas.openxmlformats.org/officeDocument/2006/relationships/webSettings" Target="webSettings.xml"/><Relationship Id="rId15" Type="http://schemas.openxmlformats.org/officeDocument/2006/relationships/hyperlink" Target="mailto:j.watkins@alta.bham.ac.uk" TargetMode="External"/><Relationship Id="rId10" Type="http://schemas.openxmlformats.org/officeDocument/2006/relationships/hyperlink" Target="http://www.wellcome.ac.uk/funding/Innovations/awards/translation-fund/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rc.ac.uk/funding/science-areas/translation/biomedical-catalyst/" TargetMode="External"/><Relationship Id="rId14" Type="http://schemas.openxmlformats.org/officeDocument/2006/relationships/hyperlink" Target="mailto:N.A.Holland@b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MDS</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Fenlon</dc:creator>
  <cp:lastModifiedBy>Neil Holland</cp:lastModifiedBy>
  <cp:revision>14</cp:revision>
  <cp:lastPrinted>2016-02-12T10:45:00Z</cp:lastPrinted>
  <dcterms:created xsi:type="dcterms:W3CDTF">2016-02-05T11:42:00Z</dcterms:created>
  <dcterms:modified xsi:type="dcterms:W3CDTF">2016-09-13T10:23:00Z</dcterms:modified>
</cp:coreProperties>
</file>