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DC8" w:rsidRPr="0020173F" w:rsidRDefault="00875DC8" w:rsidP="00875DC8">
      <w:pPr>
        <w:pStyle w:val="Heading3"/>
        <w:rPr>
          <w:b/>
          <w:i/>
        </w:rPr>
      </w:pPr>
      <w:bookmarkStart w:id="0" w:name="_Toc39135813"/>
      <w:bookmarkStart w:id="1" w:name="_Toc39139094"/>
      <w:r w:rsidRPr="0020173F">
        <w:rPr>
          <w:b/>
          <w:i/>
        </w:rPr>
        <w:t>Safe and Sustainable Local Exhaust Ventilation</w:t>
      </w:r>
      <w:bookmarkEnd w:id="0"/>
      <w:bookmarkEnd w:id="1"/>
    </w:p>
    <w:p w:rsidR="00875DC8" w:rsidRDefault="00875DC8" w:rsidP="00875DC8">
      <w:pPr>
        <w:contextualSpacing/>
        <w:jc w:val="both"/>
        <w:rPr>
          <w:sz w:val="20"/>
          <w:szCs w:val="20"/>
        </w:rPr>
      </w:pPr>
      <w:r w:rsidRPr="00C534DA">
        <w:rPr>
          <w:sz w:val="20"/>
          <w:szCs w:val="20"/>
        </w:rPr>
        <w:t>This checklist is provided to assist Managers within Schools/Departments, who have responsibility for LEV.   It provides guidance on achieving a safe and sustainable provision of local exhaust ventilation (LEV) where this equipment is the essential control measure for preventing harmful exposure to airborne hazardous substances.  The actions outlined below are necessary to ensure compliance with the relevant legal ob</w:t>
      </w:r>
      <w:bookmarkStart w:id="2" w:name="_GoBack"/>
      <w:bookmarkEnd w:id="2"/>
      <w:r w:rsidRPr="00C534DA">
        <w:rPr>
          <w:sz w:val="20"/>
          <w:szCs w:val="20"/>
        </w:rPr>
        <w:t xml:space="preserve">ligations, and also to maintain important research and operational capabilities. </w:t>
      </w:r>
    </w:p>
    <w:p w:rsidR="00875DC8" w:rsidRPr="00244456" w:rsidRDefault="00875DC8" w:rsidP="00875DC8">
      <w:pPr>
        <w:contextualSpacing/>
        <w:jc w:val="both"/>
        <w:rPr>
          <w:sz w:val="22"/>
          <w:szCs w:val="20"/>
        </w:rPr>
      </w:pPr>
    </w:p>
    <w:p w:rsidR="00875DC8" w:rsidRPr="00244456" w:rsidRDefault="00875DC8" w:rsidP="00875DC8">
      <w:pPr>
        <w:jc w:val="both"/>
        <w:rPr>
          <w:b/>
          <w:sz w:val="22"/>
          <w:szCs w:val="20"/>
        </w:rPr>
      </w:pPr>
      <w:r w:rsidRPr="00244456">
        <w:rPr>
          <w:b/>
          <w:sz w:val="22"/>
          <w:szCs w:val="20"/>
        </w:rPr>
        <w:t>PLANNING AND ACTION FOR SUSTAINABLE LOCAL EXHAUST VENTILATION</w:t>
      </w:r>
    </w:p>
    <w:p w:rsidR="00875DC8" w:rsidRPr="006F29CA" w:rsidRDefault="00875DC8" w:rsidP="00875DC8">
      <w:pPr>
        <w:pBdr>
          <w:top w:val="single" w:sz="4" w:space="1" w:color="auto"/>
          <w:left w:val="single" w:sz="4" w:space="22" w:color="auto"/>
          <w:bottom w:val="single" w:sz="4" w:space="1" w:color="auto"/>
          <w:right w:val="single" w:sz="4" w:space="21" w:color="auto"/>
          <w:between w:val="single" w:sz="4" w:space="1" w:color="auto"/>
          <w:bar w:val="single" w:sz="4" w:color="auto"/>
        </w:pBdr>
        <w:shd w:val="clear" w:color="auto" w:fill="D9D9D9"/>
        <w:jc w:val="both"/>
        <w:rPr>
          <w:sz w:val="20"/>
          <w:szCs w:val="20"/>
        </w:rPr>
      </w:pPr>
      <w:r w:rsidRPr="006F29CA">
        <w:rPr>
          <w:sz w:val="20"/>
          <w:szCs w:val="20"/>
        </w:rPr>
        <w:t>Users of LEV can use the checklist to confirm progress on establishing the key stages of planning and delivery of sustainable LEV in their areas. See Hazardous Substances Policy- Local Exhaust Ventilation (LEV) for further details</w:t>
      </w:r>
    </w:p>
    <w:tbl>
      <w:tblPr>
        <w:tblStyle w:val="TableGrid1"/>
        <w:tblW w:w="9952" w:type="dxa"/>
        <w:tblInd w:w="-459" w:type="dxa"/>
        <w:tblLook w:val="04A0" w:firstRow="1" w:lastRow="0" w:firstColumn="1" w:lastColumn="0" w:noHBand="0" w:noVBand="1"/>
      </w:tblPr>
      <w:tblGrid>
        <w:gridCol w:w="5064"/>
        <w:gridCol w:w="1047"/>
        <w:gridCol w:w="3841"/>
      </w:tblGrid>
      <w:tr w:rsidR="00875DC8" w:rsidRPr="006D6977" w:rsidTr="00450A49">
        <w:trPr>
          <w:trHeight w:val="238"/>
        </w:trPr>
        <w:tc>
          <w:tcPr>
            <w:tcW w:w="9952" w:type="dxa"/>
            <w:gridSpan w:val="3"/>
            <w:shd w:val="clear" w:color="auto" w:fill="D9D9D9" w:themeFill="background1" w:themeFillShade="D9"/>
          </w:tcPr>
          <w:p w:rsidR="00875DC8" w:rsidRPr="00244456" w:rsidRDefault="00875DC8" w:rsidP="00450A49">
            <w:pPr>
              <w:jc w:val="both"/>
              <w:rPr>
                <w:sz w:val="20"/>
                <w:szCs w:val="20"/>
              </w:rPr>
            </w:pPr>
            <w:r w:rsidRPr="00244456">
              <w:rPr>
                <w:sz w:val="20"/>
                <w:szCs w:val="20"/>
              </w:rPr>
              <w:t>These actions relate to LEV use in the following area(s)</w:t>
            </w:r>
          </w:p>
        </w:tc>
      </w:tr>
      <w:tr w:rsidR="00875DC8" w:rsidRPr="006D6977" w:rsidTr="00450A49">
        <w:trPr>
          <w:trHeight w:val="581"/>
        </w:trPr>
        <w:tc>
          <w:tcPr>
            <w:tcW w:w="9952" w:type="dxa"/>
            <w:gridSpan w:val="3"/>
            <w:tcBorders>
              <w:bottom w:val="single" w:sz="4" w:space="0" w:color="auto"/>
            </w:tcBorders>
          </w:tcPr>
          <w:p w:rsidR="00875DC8" w:rsidRPr="00244456" w:rsidRDefault="00875DC8" w:rsidP="00450A49">
            <w:pPr>
              <w:jc w:val="both"/>
              <w:rPr>
                <w:sz w:val="16"/>
                <w:szCs w:val="20"/>
              </w:rPr>
            </w:pPr>
            <w:r w:rsidRPr="00244456">
              <w:rPr>
                <w:sz w:val="16"/>
                <w:szCs w:val="20"/>
              </w:rPr>
              <w:t>College/School/or Department</w:t>
            </w:r>
          </w:p>
          <w:p w:rsidR="00875DC8" w:rsidRPr="00244456" w:rsidRDefault="00875DC8" w:rsidP="00450A49">
            <w:pPr>
              <w:jc w:val="both"/>
              <w:rPr>
                <w:sz w:val="16"/>
                <w:szCs w:val="20"/>
              </w:rPr>
            </w:pPr>
          </w:p>
          <w:p w:rsidR="00875DC8" w:rsidRPr="00244456" w:rsidRDefault="00875DC8" w:rsidP="00450A49">
            <w:pPr>
              <w:jc w:val="both"/>
              <w:rPr>
                <w:sz w:val="16"/>
                <w:szCs w:val="20"/>
              </w:rPr>
            </w:pPr>
            <w:r w:rsidRPr="00244456">
              <w:rPr>
                <w:sz w:val="16"/>
                <w:szCs w:val="20"/>
              </w:rPr>
              <w:t>Locations</w:t>
            </w:r>
          </w:p>
        </w:tc>
      </w:tr>
      <w:tr w:rsidR="00875DC8" w:rsidRPr="006D6977" w:rsidTr="00450A49">
        <w:trPr>
          <w:trHeight w:val="223"/>
        </w:trPr>
        <w:tc>
          <w:tcPr>
            <w:tcW w:w="5064" w:type="dxa"/>
            <w:tcBorders>
              <w:left w:val="nil"/>
              <w:right w:val="nil"/>
            </w:tcBorders>
          </w:tcPr>
          <w:p w:rsidR="00875DC8" w:rsidRPr="006D6977" w:rsidRDefault="00875DC8" w:rsidP="00450A49">
            <w:pPr>
              <w:jc w:val="both"/>
              <w:rPr>
                <w:rFonts w:ascii="Arial" w:hAnsi="Arial"/>
                <w:sz w:val="20"/>
                <w:szCs w:val="20"/>
              </w:rPr>
            </w:pPr>
          </w:p>
        </w:tc>
        <w:tc>
          <w:tcPr>
            <w:tcW w:w="4888" w:type="dxa"/>
            <w:gridSpan w:val="2"/>
            <w:tcBorders>
              <w:left w:val="nil"/>
              <w:right w:val="nil"/>
            </w:tcBorders>
          </w:tcPr>
          <w:p w:rsidR="00875DC8" w:rsidRPr="006D6977" w:rsidRDefault="00875DC8" w:rsidP="00450A49">
            <w:pPr>
              <w:jc w:val="both"/>
              <w:rPr>
                <w:rFonts w:ascii="Arial" w:hAnsi="Arial"/>
                <w:sz w:val="16"/>
                <w:szCs w:val="20"/>
              </w:rPr>
            </w:pPr>
          </w:p>
        </w:tc>
      </w:tr>
      <w:tr w:rsidR="00875DC8" w:rsidRPr="006D6977" w:rsidTr="00450A49">
        <w:trPr>
          <w:trHeight w:val="432"/>
        </w:trPr>
        <w:tc>
          <w:tcPr>
            <w:tcW w:w="5064" w:type="dxa"/>
            <w:shd w:val="clear" w:color="auto" w:fill="D9D9D9" w:themeFill="background1" w:themeFillShade="D9"/>
          </w:tcPr>
          <w:p w:rsidR="00875DC8" w:rsidRPr="00244456" w:rsidRDefault="00875DC8" w:rsidP="00450A49">
            <w:pPr>
              <w:jc w:val="both"/>
              <w:rPr>
                <w:sz w:val="20"/>
                <w:szCs w:val="20"/>
              </w:rPr>
            </w:pPr>
            <w:r w:rsidRPr="00244456">
              <w:rPr>
                <w:sz w:val="20"/>
                <w:szCs w:val="20"/>
              </w:rPr>
              <w:t>Actions</w:t>
            </w:r>
          </w:p>
        </w:tc>
        <w:tc>
          <w:tcPr>
            <w:tcW w:w="1047" w:type="dxa"/>
            <w:shd w:val="clear" w:color="auto" w:fill="D9D9D9" w:themeFill="background1" w:themeFillShade="D9"/>
          </w:tcPr>
          <w:p w:rsidR="00875DC8" w:rsidRPr="00244456" w:rsidRDefault="00875DC8" w:rsidP="00450A49">
            <w:pPr>
              <w:jc w:val="both"/>
              <w:rPr>
                <w:sz w:val="18"/>
                <w:szCs w:val="20"/>
              </w:rPr>
            </w:pPr>
            <w:r w:rsidRPr="00244456">
              <w:rPr>
                <w:sz w:val="18"/>
                <w:szCs w:val="20"/>
              </w:rPr>
              <w:t>Competed</w:t>
            </w:r>
          </w:p>
          <w:p w:rsidR="00875DC8" w:rsidRPr="00244456" w:rsidRDefault="00875DC8" w:rsidP="00450A49">
            <w:pPr>
              <w:jc w:val="both"/>
              <w:rPr>
                <w:sz w:val="56"/>
                <w:szCs w:val="20"/>
              </w:rPr>
            </w:pPr>
            <w:r w:rsidRPr="00244456">
              <w:rPr>
                <w:sz w:val="18"/>
                <w:szCs w:val="20"/>
              </w:rPr>
              <w:t>(tick)</w:t>
            </w:r>
          </w:p>
        </w:tc>
        <w:tc>
          <w:tcPr>
            <w:tcW w:w="3841" w:type="dxa"/>
            <w:shd w:val="clear" w:color="auto" w:fill="D9D9D9" w:themeFill="background1" w:themeFillShade="D9"/>
          </w:tcPr>
          <w:p w:rsidR="00875DC8" w:rsidRPr="00244456" w:rsidRDefault="00875DC8" w:rsidP="00450A49">
            <w:pPr>
              <w:jc w:val="both"/>
              <w:rPr>
                <w:sz w:val="16"/>
                <w:szCs w:val="20"/>
              </w:rPr>
            </w:pPr>
            <w:r w:rsidRPr="00244456">
              <w:rPr>
                <w:sz w:val="20"/>
                <w:szCs w:val="20"/>
              </w:rPr>
              <w:t>Comments and further actions required</w:t>
            </w:r>
          </w:p>
        </w:tc>
      </w:tr>
      <w:tr w:rsidR="00875DC8" w:rsidRPr="006D6977" w:rsidTr="00450A49">
        <w:trPr>
          <w:trHeight w:val="865"/>
        </w:trPr>
        <w:tc>
          <w:tcPr>
            <w:tcW w:w="5064" w:type="dxa"/>
          </w:tcPr>
          <w:p w:rsidR="00875DC8" w:rsidRPr="00244456" w:rsidRDefault="00875DC8" w:rsidP="00450A49">
            <w:pPr>
              <w:jc w:val="both"/>
              <w:rPr>
                <w:sz w:val="20"/>
                <w:szCs w:val="20"/>
              </w:rPr>
            </w:pPr>
            <w:r w:rsidRPr="00244456">
              <w:rPr>
                <w:b/>
                <w:sz w:val="20"/>
                <w:szCs w:val="20"/>
                <w:u w:val="single"/>
              </w:rPr>
              <w:t>Action</w:t>
            </w:r>
            <w:r w:rsidRPr="00244456">
              <w:rPr>
                <w:sz w:val="20"/>
                <w:szCs w:val="20"/>
              </w:rPr>
              <w:t xml:space="preserve"> - Head of </w:t>
            </w:r>
            <w:r>
              <w:rPr>
                <w:sz w:val="20"/>
                <w:szCs w:val="20"/>
              </w:rPr>
              <w:t>School/ Department</w:t>
            </w:r>
            <w:r w:rsidRPr="00244456">
              <w:rPr>
                <w:sz w:val="20"/>
                <w:szCs w:val="20"/>
              </w:rPr>
              <w:t xml:space="preserve"> has nominated Designated Persons for all aspects of the safe and sustainable use of LEV?</w:t>
            </w:r>
          </w:p>
        </w:tc>
        <w:tc>
          <w:tcPr>
            <w:tcW w:w="1047" w:type="dxa"/>
            <w:vAlign w:val="center"/>
          </w:tcPr>
          <w:p w:rsidR="00875DC8" w:rsidRPr="00244456" w:rsidRDefault="00875DC8" w:rsidP="00450A49">
            <w:pPr>
              <w:jc w:val="center"/>
              <w:rPr>
                <w:sz w:val="20"/>
                <w:szCs w:val="20"/>
              </w:rPr>
            </w:pPr>
            <w:r w:rsidRPr="00244456">
              <w:rPr>
                <w:sz w:val="56"/>
                <w:szCs w:val="20"/>
              </w:rPr>
              <w:t>□</w:t>
            </w:r>
          </w:p>
        </w:tc>
        <w:tc>
          <w:tcPr>
            <w:tcW w:w="3841" w:type="dxa"/>
          </w:tcPr>
          <w:p w:rsidR="00875DC8" w:rsidRPr="00244456" w:rsidRDefault="00875DC8" w:rsidP="00450A49">
            <w:pPr>
              <w:jc w:val="both"/>
              <w:rPr>
                <w:sz w:val="16"/>
                <w:szCs w:val="20"/>
              </w:rPr>
            </w:pPr>
            <w:r w:rsidRPr="00244456">
              <w:rPr>
                <w:sz w:val="16"/>
                <w:szCs w:val="20"/>
              </w:rPr>
              <w:t>Each area and each system must have a manager responsible for the continued safe use of LEV.</w:t>
            </w:r>
          </w:p>
          <w:p w:rsidR="00875DC8" w:rsidRPr="00244456" w:rsidRDefault="00875DC8" w:rsidP="00450A49">
            <w:pPr>
              <w:jc w:val="both"/>
              <w:rPr>
                <w:sz w:val="20"/>
                <w:szCs w:val="20"/>
              </w:rPr>
            </w:pPr>
          </w:p>
          <w:p w:rsidR="00875DC8" w:rsidRPr="00244456" w:rsidRDefault="00875DC8" w:rsidP="00450A49">
            <w:pPr>
              <w:jc w:val="both"/>
              <w:rPr>
                <w:sz w:val="20"/>
                <w:szCs w:val="20"/>
              </w:rPr>
            </w:pPr>
          </w:p>
        </w:tc>
      </w:tr>
      <w:tr w:rsidR="00875DC8" w:rsidRPr="006D6977" w:rsidTr="00450A49">
        <w:trPr>
          <w:trHeight w:val="801"/>
        </w:trPr>
        <w:tc>
          <w:tcPr>
            <w:tcW w:w="5064" w:type="dxa"/>
          </w:tcPr>
          <w:p w:rsidR="00875DC8" w:rsidRPr="00244456" w:rsidRDefault="00875DC8" w:rsidP="00450A49">
            <w:pPr>
              <w:spacing w:before="240"/>
              <w:jc w:val="both"/>
              <w:rPr>
                <w:sz w:val="20"/>
                <w:szCs w:val="20"/>
              </w:rPr>
            </w:pPr>
            <w:r w:rsidRPr="00244456">
              <w:rPr>
                <w:b/>
                <w:sz w:val="20"/>
                <w:szCs w:val="20"/>
                <w:u w:val="single"/>
              </w:rPr>
              <w:t>Action</w:t>
            </w:r>
            <w:r w:rsidRPr="00244456">
              <w:rPr>
                <w:sz w:val="20"/>
                <w:szCs w:val="20"/>
              </w:rPr>
              <w:t xml:space="preserve"> - All relevant local LEV systems are included on the Estates </w:t>
            </w:r>
            <w:r>
              <w:rPr>
                <w:sz w:val="20"/>
                <w:szCs w:val="20"/>
              </w:rPr>
              <w:t>database</w:t>
            </w:r>
          </w:p>
        </w:tc>
        <w:tc>
          <w:tcPr>
            <w:tcW w:w="1047" w:type="dxa"/>
            <w:vAlign w:val="center"/>
          </w:tcPr>
          <w:p w:rsidR="00875DC8" w:rsidRPr="00244456" w:rsidRDefault="00875DC8" w:rsidP="00450A49">
            <w:pPr>
              <w:jc w:val="center"/>
              <w:rPr>
                <w:sz w:val="20"/>
                <w:szCs w:val="20"/>
              </w:rPr>
            </w:pPr>
            <w:r w:rsidRPr="00244456">
              <w:rPr>
                <w:sz w:val="56"/>
                <w:szCs w:val="20"/>
              </w:rPr>
              <w:t>□</w:t>
            </w:r>
          </w:p>
        </w:tc>
        <w:tc>
          <w:tcPr>
            <w:tcW w:w="3841" w:type="dxa"/>
          </w:tcPr>
          <w:p w:rsidR="00875DC8" w:rsidRPr="00244456" w:rsidRDefault="00875DC8" w:rsidP="00450A49">
            <w:pPr>
              <w:jc w:val="both"/>
              <w:rPr>
                <w:sz w:val="20"/>
                <w:szCs w:val="20"/>
              </w:rPr>
            </w:pPr>
          </w:p>
          <w:p w:rsidR="00875DC8" w:rsidRPr="00244456" w:rsidRDefault="00875DC8" w:rsidP="00450A49">
            <w:pPr>
              <w:jc w:val="both"/>
              <w:rPr>
                <w:sz w:val="20"/>
                <w:szCs w:val="20"/>
              </w:rPr>
            </w:pPr>
          </w:p>
          <w:p w:rsidR="00875DC8" w:rsidRPr="00244456" w:rsidRDefault="00875DC8" w:rsidP="00450A49">
            <w:pPr>
              <w:jc w:val="both"/>
              <w:rPr>
                <w:sz w:val="20"/>
                <w:szCs w:val="20"/>
              </w:rPr>
            </w:pPr>
          </w:p>
          <w:p w:rsidR="00875DC8" w:rsidRPr="00244456" w:rsidRDefault="00875DC8" w:rsidP="00450A49">
            <w:pPr>
              <w:jc w:val="both"/>
              <w:rPr>
                <w:sz w:val="20"/>
                <w:szCs w:val="20"/>
              </w:rPr>
            </w:pPr>
          </w:p>
        </w:tc>
      </w:tr>
      <w:tr w:rsidR="00875DC8" w:rsidRPr="006D6977" w:rsidTr="00450A49">
        <w:trPr>
          <w:trHeight w:val="865"/>
        </w:trPr>
        <w:tc>
          <w:tcPr>
            <w:tcW w:w="5064" w:type="dxa"/>
          </w:tcPr>
          <w:p w:rsidR="00875DC8" w:rsidRPr="00244456" w:rsidRDefault="00875DC8" w:rsidP="00450A49">
            <w:pPr>
              <w:jc w:val="both"/>
              <w:rPr>
                <w:sz w:val="20"/>
                <w:szCs w:val="20"/>
              </w:rPr>
            </w:pPr>
            <w:r w:rsidRPr="00244456">
              <w:rPr>
                <w:b/>
                <w:sz w:val="20"/>
                <w:szCs w:val="20"/>
                <w:u w:val="single"/>
              </w:rPr>
              <w:t>Action</w:t>
            </w:r>
            <w:r w:rsidRPr="00244456">
              <w:rPr>
                <w:sz w:val="20"/>
                <w:szCs w:val="20"/>
              </w:rPr>
              <w:t xml:space="preserve"> - Effective arrangements are in place to ensure routine maintenance of LEV, including a formally agreed schedule of planned preventative maintenance</w:t>
            </w:r>
          </w:p>
        </w:tc>
        <w:tc>
          <w:tcPr>
            <w:tcW w:w="1047" w:type="dxa"/>
            <w:vAlign w:val="center"/>
          </w:tcPr>
          <w:p w:rsidR="00875DC8" w:rsidRPr="00244456" w:rsidRDefault="00875DC8" w:rsidP="00450A49">
            <w:pPr>
              <w:jc w:val="center"/>
              <w:rPr>
                <w:sz w:val="20"/>
                <w:szCs w:val="20"/>
              </w:rPr>
            </w:pPr>
            <w:r w:rsidRPr="00244456">
              <w:rPr>
                <w:sz w:val="56"/>
                <w:szCs w:val="20"/>
              </w:rPr>
              <w:t>□</w:t>
            </w:r>
          </w:p>
        </w:tc>
        <w:tc>
          <w:tcPr>
            <w:tcW w:w="3841" w:type="dxa"/>
          </w:tcPr>
          <w:p w:rsidR="00875DC8" w:rsidRPr="00244456" w:rsidRDefault="00875DC8" w:rsidP="00450A49">
            <w:pPr>
              <w:jc w:val="both"/>
              <w:rPr>
                <w:sz w:val="16"/>
                <w:szCs w:val="20"/>
              </w:rPr>
            </w:pPr>
            <w:r w:rsidRPr="00244456">
              <w:rPr>
                <w:sz w:val="16"/>
                <w:szCs w:val="20"/>
              </w:rPr>
              <w:t>Using Estates or contractors or others to undertake maintenance.</w:t>
            </w:r>
          </w:p>
          <w:p w:rsidR="00875DC8" w:rsidRPr="00244456" w:rsidRDefault="00875DC8" w:rsidP="00450A49">
            <w:pPr>
              <w:jc w:val="both"/>
              <w:rPr>
                <w:sz w:val="20"/>
                <w:szCs w:val="20"/>
              </w:rPr>
            </w:pPr>
          </w:p>
          <w:p w:rsidR="00875DC8" w:rsidRPr="00244456" w:rsidRDefault="00875DC8" w:rsidP="00450A49">
            <w:pPr>
              <w:jc w:val="both"/>
              <w:rPr>
                <w:sz w:val="20"/>
                <w:szCs w:val="20"/>
              </w:rPr>
            </w:pPr>
          </w:p>
        </w:tc>
      </w:tr>
      <w:tr w:rsidR="00875DC8" w:rsidRPr="006D6977" w:rsidTr="00450A49">
        <w:trPr>
          <w:trHeight w:val="671"/>
        </w:trPr>
        <w:tc>
          <w:tcPr>
            <w:tcW w:w="5064" w:type="dxa"/>
          </w:tcPr>
          <w:p w:rsidR="00875DC8" w:rsidRPr="00244456" w:rsidRDefault="00875DC8" w:rsidP="00450A49">
            <w:pPr>
              <w:jc w:val="both"/>
              <w:rPr>
                <w:sz w:val="20"/>
                <w:szCs w:val="20"/>
              </w:rPr>
            </w:pPr>
            <w:r w:rsidRPr="00244456">
              <w:rPr>
                <w:b/>
                <w:sz w:val="20"/>
                <w:szCs w:val="20"/>
                <w:u w:val="single"/>
              </w:rPr>
              <w:t>Action</w:t>
            </w:r>
            <w:r w:rsidRPr="00244456">
              <w:rPr>
                <w:b/>
                <w:sz w:val="20"/>
                <w:szCs w:val="20"/>
              </w:rPr>
              <w:t xml:space="preserve"> </w:t>
            </w:r>
            <w:r w:rsidRPr="00244456">
              <w:rPr>
                <w:sz w:val="20"/>
                <w:szCs w:val="20"/>
              </w:rPr>
              <w:t xml:space="preserve">- A User manual and Log Book is present for each system </w:t>
            </w:r>
          </w:p>
        </w:tc>
        <w:tc>
          <w:tcPr>
            <w:tcW w:w="1047" w:type="dxa"/>
            <w:vAlign w:val="center"/>
          </w:tcPr>
          <w:p w:rsidR="00875DC8" w:rsidRPr="00244456" w:rsidRDefault="00875DC8" w:rsidP="00450A49">
            <w:pPr>
              <w:jc w:val="center"/>
              <w:rPr>
                <w:sz w:val="20"/>
                <w:szCs w:val="20"/>
              </w:rPr>
            </w:pPr>
            <w:r w:rsidRPr="00244456">
              <w:rPr>
                <w:sz w:val="56"/>
                <w:szCs w:val="20"/>
              </w:rPr>
              <w:t>□</w:t>
            </w:r>
          </w:p>
        </w:tc>
        <w:tc>
          <w:tcPr>
            <w:tcW w:w="3841" w:type="dxa"/>
          </w:tcPr>
          <w:p w:rsidR="00875DC8" w:rsidRPr="00244456" w:rsidRDefault="00875DC8" w:rsidP="00450A49">
            <w:pPr>
              <w:jc w:val="both"/>
              <w:rPr>
                <w:sz w:val="20"/>
                <w:szCs w:val="20"/>
              </w:rPr>
            </w:pPr>
          </w:p>
        </w:tc>
      </w:tr>
      <w:tr w:rsidR="00875DC8" w:rsidRPr="006D6977" w:rsidTr="00450A49">
        <w:trPr>
          <w:trHeight w:val="969"/>
        </w:trPr>
        <w:tc>
          <w:tcPr>
            <w:tcW w:w="5064" w:type="dxa"/>
          </w:tcPr>
          <w:p w:rsidR="00875DC8" w:rsidRPr="00244456" w:rsidRDefault="00875DC8" w:rsidP="00450A49">
            <w:pPr>
              <w:jc w:val="both"/>
              <w:rPr>
                <w:sz w:val="20"/>
                <w:szCs w:val="20"/>
              </w:rPr>
            </w:pPr>
            <w:r w:rsidRPr="00244456">
              <w:rPr>
                <w:b/>
                <w:sz w:val="20"/>
                <w:szCs w:val="20"/>
                <w:u w:val="single"/>
              </w:rPr>
              <w:t>Action</w:t>
            </w:r>
            <w:r w:rsidRPr="00244456">
              <w:rPr>
                <w:sz w:val="20"/>
                <w:szCs w:val="20"/>
              </w:rPr>
              <w:t xml:space="preserve"> - Effective arrangements are in place for the annual thorough examination and testing of LEV (and production of records of this).</w:t>
            </w:r>
          </w:p>
        </w:tc>
        <w:tc>
          <w:tcPr>
            <w:tcW w:w="1047" w:type="dxa"/>
            <w:vAlign w:val="center"/>
          </w:tcPr>
          <w:p w:rsidR="00875DC8" w:rsidRPr="00244456" w:rsidRDefault="00875DC8" w:rsidP="00450A49">
            <w:pPr>
              <w:jc w:val="center"/>
              <w:rPr>
                <w:sz w:val="20"/>
                <w:szCs w:val="20"/>
              </w:rPr>
            </w:pPr>
            <w:r w:rsidRPr="00244456">
              <w:rPr>
                <w:sz w:val="56"/>
                <w:szCs w:val="20"/>
              </w:rPr>
              <w:t>□</w:t>
            </w:r>
          </w:p>
        </w:tc>
        <w:tc>
          <w:tcPr>
            <w:tcW w:w="3841" w:type="dxa"/>
          </w:tcPr>
          <w:p w:rsidR="00875DC8" w:rsidRPr="00244456" w:rsidRDefault="00875DC8" w:rsidP="00450A49">
            <w:pPr>
              <w:jc w:val="both"/>
              <w:rPr>
                <w:sz w:val="20"/>
                <w:szCs w:val="20"/>
              </w:rPr>
            </w:pPr>
          </w:p>
          <w:p w:rsidR="00875DC8" w:rsidRPr="00244456" w:rsidRDefault="00875DC8" w:rsidP="00450A49">
            <w:pPr>
              <w:jc w:val="both"/>
              <w:rPr>
                <w:sz w:val="20"/>
                <w:szCs w:val="20"/>
              </w:rPr>
            </w:pPr>
          </w:p>
          <w:p w:rsidR="00875DC8" w:rsidRPr="00244456" w:rsidRDefault="00875DC8" w:rsidP="00450A49">
            <w:pPr>
              <w:jc w:val="both"/>
              <w:rPr>
                <w:sz w:val="20"/>
                <w:szCs w:val="20"/>
              </w:rPr>
            </w:pPr>
          </w:p>
          <w:p w:rsidR="00875DC8" w:rsidRPr="00244456" w:rsidRDefault="00875DC8" w:rsidP="00450A49">
            <w:pPr>
              <w:jc w:val="both"/>
              <w:rPr>
                <w:sz w:val="20"/>
                <w:szCs w:val="20"/>
              </w:rPr>
            </w:pPr>
          </w:p>
        </w:tc>
      </w:tr>
      <w:tr w:rsidR="00875DC8" w:rsidRPr="006D6977" w:rsidTr="00450A49">
        <w:trPr>
          <w:trHeight w:val="969"/>
        </w:trPr>
        <w:tc>
          <w:tcPr>
            <w:tcW w:w="5064" w:type="dxa"/>
          </w:tcPr>
          <w:p w:rsidR="00875DC8" w:rsidRPr="00244456" w:rsidRDefault="00875DC8" w:rsidP="00450A49">
            <w:pPr>
              <w:jc w:val="both"/>
              <w:rPr>
                <w:sz w:val="20"/>
                <w:szCs w:val="20"/>
              </w:rPr>
            </w:pPr>
            <w:r w:rsidRPr="00244456">
              <w:rPr>
                <w:b/>
                <w:sz w:val="20"/>
                <w:szCs w:val="20"/>
                <w:u w:val="single"/>
              </w:rPr>
              <w:t>Action</w:t>
            </w:r>
            <w:r w:rsidRPr="00244456">
              <w:rPr>
                <w:sz w:val="20"/>
                <w:szCs w:val="20"/>
              </w:rPr>
              <w:t xml:space="preserve"> - Arrangements are in place to ensure that new LEV systems (and modifications to existing LEV) are registered through Estates and designed and installed by competent persons</w:t>
            </w:r>
          </w:p>
        </w:tc>
        <w:tc>
          <w:tcPr>
            <w:tcW w:w="1047" w:type="dxa"/>
            <w:vAlign w:val="center"/>
          </w:tcPr>
          <w:p w:rsidR="00875DC8" w:rsidRPr="00244456" w:rsidRDefault="00875DC8" w:rsidP="00450A49">
            <w:pPr>
              <w:jc w:val="center"/>
              <w:rPr>
                <w:sz w:val="20"/>
                <w:szCs w:val="20"/>
              </w:rPr>
            </w:pPr>
            <w:r w:rsidRPr="00244456">
              <w:rPr>
                <w:sz w:val="56"/>
                <w:szCs w:val="20"/>
              </w:rPr>
              <w:t>□</w:t>
            </w:r>
          </w:p>
        </w:tc>
        <w:tc>
          <w:tcPr>
            <w:tcW w:w="3841" w:type="dxa"/>
          </w:tcPr>
          <w:p w:rsidR="00875DC8" w:rsidRPr="00244456" w:rsidRDefault="00875DC8" w:rsidP="00450A49">
            <w:pPr>
              <w:jc w:val="both"/>
              <w:rPr>
                <w:sz w:val="20"/>
                <w:szCs w:val="20"/>
              </w:rPr>
            </w:pPr>
            <w:r w:rsidRPr="00244456">
              <w:rPr>
                <w:sz w:val="16"/>
                <w:szCs w:val="20"/>
              </w:rPr>
              <w:t>HRWW are available to advice.</w:t>
            </w:r>
          </w:p>
        </w:tc>
      </w:tr>
      <w:tr w:rsidR="00875DC8" w:rsidRPr="006D6977" w:rsidTr="00450A49">
        <w:trPr>
          <w:trHeight w:val="715"/>
        </w:trPr>
        <w:tc>
          <w:tcPr>
            <w:tcW w:w="5064" w:type="dxa"/>
          </w:tcPr>
          <w:p w:rsidR="00875DC8" w:rsidRPr="00244456" w:rsidRDefault="00875DC8" w:rsidP="00450A49">
            <w:pPr>
              <w:jc w:val="both"/>
              <w:rPr>
                <w:sz w:val="20"/>
                <w:szCs w:val="20"/>
              </w:rPr>
            </w:pPr>
            <w:r w:rsidRPr="00244456">
              <w:rPr>
                <w:b/>
                <w:sz w:val="20"/>
                <w:szCs w:val="20"/>
                <w:u w:val="single"/>
              </w:rPr>
              <w:t>Action</w:t>
            </w:r>
            <w:r w:rsidRPr="00244456">
              <w:rPr>
                <w:sz w:val="20"/>
                <w:szCs w:val="20"/>
              </w:rPr>
              <w:t xml:space="preserve"> - Arrangements are in place to ensure all users of LEV are provided with information on safe and sustainable use of LEV (and provided with training where this is appropriate)</w:t>
            </w:r>
          </w:p>
        </w:tc>
        <w:tc>
          <w:tcPr>
            <w:tcW w:w="1047" w:type="dxa"/>
            <w:vAlign w:val="center"/>
          </w:tcPr>
          <w:p w:rsidR="00875DC8" w:rsidRPr="00244456" w:rsidRDefault="00875DC8" w:rsidP="00450A49">
            <w:pPr>
              <w:jc w:val="center"/>
              <w:rPr>
                <w:sz w:val="20"/>
                <w:szCs w:val="20"/>
              </w:rPr>
            </w:pPr>
            <w:r w:rsidRPr="00244456">
              <w:rPr>
                <w:sz w:val="56"/>
                <w:szCs w:val="20"/>
              </w:rPr>
              <w:t>□</w:t>
            </w:r>
          </w:p>
        </w:tc>
        <w:tc>
          <w:tcPr>
            <w:tcW w:w="3841" w:type="dxa"/>
          </w:tcPr>
          <w:p w:rsidR="00875DC8" w:rsidRPr="00244456" w:rsidRDefault="00875DC8" w:rsidP="00450A49">
            <w:pPr>
              <w:jc w:val="both"/>
              <w:rPr>
                <w:sz w:val="20"/>
                <w:szCs w:val="20"/>
              </w:rPr>
            </w:pPr>
          </w:p>
        </w:tc>
      </w:tr>
      <w:tr w:rsidR="00875DC8" w:rsidRPr="006D6977" w:rsidTr="00450A49">
        <w:trPr>
          <w:trHeight w:val="730"/>
        </w:trPr>
        <w:tc>
          <w:tcPr>
            <w:tcW w:w="5064" w:type="dxa"/>
          </w:tcPr>
          <w:p w:rsidR="00875DC8" w:rsidRPr="00244456" w:rsidRDefault="00875DC8" w:rsidP="00450A49">
            <w:pPr>
              <w:jc w:val="both"/>
              <w:rPr>
                <w:sz w:val="20"/>
                <w:szCs w:val="20"/>
              </w:rPr>
            </w:pPr>
            <w:r w:rsidRPr="00244456">
              <w:rPr>
                <w:b/>
                <w:sz w:val="20"/>
                <w:szCs w:val="20"/>
                <w:u w:val="single"/>
              </w:rPr>
              <w:t>Action</w:t>
            </w:r>
            <w:r w:rsidRPr="00244456">
              <w:rPr>
                <w:sz w:val="20"/>
                <w:szCs w:val="20"/>
              </w:rPr>
              <w:t xml:space="preserve"> - Arrangements are in place for ensuring proper consideration of sustainability, energy usage, and any other green impacts from the use of the LEV</w:t>
            </w:r>
          </w:p>
        </w:tc>
        <w:tc>
          <w:tcPr>
            <w:tcW w:w="1047" w:type="dxa"/>
            <w:vAlign w:val="center"/>
          </w:tcPr>
          <w:p w:rsidR="00875DC8" w:rsidRPr="00244456" w:rsidRDefault="00875DC8" w:rsidP="00450A49">
            <w:pPr>
              <w:jc w:val="center"/>
              <w:rPr>
                <w:sz w:val="20"/>
                <w:szCs w:val="20"/>
              </w:rPr>
            </w:pPr>
            <w:r w:rsidRPr="00244456">
              <w:rPr>
                <w:sz w:val="56"/>
                <w:szCs w:val="20"/>
              </w:rPr>
              <w:t>□</w:t>
            </w:r>
          </w:p>
        </w:tc>
        <w:tc>
          <w:tcPr>
            <w:tcW w:w="3841" w:type="dxa"/>
          </w:tcPr>
          <w:p w:rsidR="00875DC8" w:rsidRPr="00244456" w:rsidRDefault="00875DC8" w:rsidP="00450A49">
            <w:pPr>
              <w:jc w:val="both"/>
              <w:rPr>
                <w:sz w:val="20"/>
                <w:szCs w:val="20"/>
              </w:rPr>
            </w:pPr>
          </w:p>
        </w:tc>
      </w:tr>
      <w:tr w:rsidR="00875DC8" w:rsidRPr="006D6977" w:rsidTr="00450A49">
        <w:trPr>
          <w:trHeight w:val="715"/>
        </w:trPr>
        <w:tc>
          <w:tcPr>
            <w:tcW w:w="5064" w:type="dxa"/>
          </w:tcPr>
          <w:p w:rsidR="00875DC8" w:rsidRPr="00244456" w:rsidRDefault="00875DC8" w:rsidP="00450A49">
            <w:pPr>
              <w:jc w:val="both"/>
              <w:rPr>
                <w:sz w:val="20"/>
                <w:szCs w:val="20"/>
              </w:rPr>
            </w:pPr>
            <w:r w:rsidRPr="00244456">
              <w:rPr>
                <w:b/>
                <w:sz w:val="20"/>
                <w:szCs w:val="20"/>
                <w:u w:val="single"/>
              </w:rPr>
              <w:t>Action</w:t>
            </w:r>
            <w:r w:rsidRPr="00244456">
              <w:rPr>
                <w:sz w:val="20"/>
                <w:szCs w:val="20"/>
              </w:rPr>
              <w:t xml:space="preserve"> - A process is in place for estimating and periodically reviewing the expected working life of the LEV, and for anticipating the renewal or replacement needs</w:t>
            </w:r>
          </w:p>
        </w:tc>
        <w:tc>
          <w:tcPr>
            <w:tcW w:w="1047" w:type="dxa"/>
            <w:vAlign w:val="center"/>
          </w:tcPr>
          <w:p w:rsidR="00875DC8" w:rsidRPr="00244456" w:rsidRDefault="00875DC8" w:rsidP="00450A49">
            <w:pPr>
              <w:jc w:val="center"/>
              <w:rPr>
                <w:sz w:val="20"/>
                <w:szCs w:val="20"/>
              </w:rPr>
            </w:pPr>
            <w:r w:rsidRPr="00244456">
              <w:rPr>
                <w:sz w:val="56"/>
                <w:szCs w:val="20"/>
              </w:rPr>
              <w:t>□</w:t>
            </w:r>
          </w:p>
        </w:tc>
        <w:tc>
          <w:tcPr>
            <w:tcW w:w="3841" w:type="dxa"/>
          </w:tcPr>
          <w:p w:rsidR="00875DC8" w:rsidRPr="00244456" w:rsidRDefault="00875DC8" w:rsidP="00450A49">
            <w:pPr>
              <w:jc w:val="both"/>
              <w:rPr>
                <w:sz w:val="20"/>
                <w:szCs w:val="20"/>
              </w:rPr>
            </w:pPr>
          </w:p>
        </w:tc>
      </w:tr>
      <w:tr w:rsidR="00875DC8" w:rsidRPr="006D6977" w:rsidTr="00450A49">
        <w:trPr>
          <w:trHeight w:val="671"/>
        </w:trPr>
        <w:tc>
          <w:tcPr>
            <w:tcW w:w="5064" w:type="dxa"/>
          </w:tcPr>
          <w:p w:rsidR="00875DC8" w:rsidRPr="00244456" w:rsidRDefault="00875DC8" w:rsidP="00450A49">
            <w:pPr>
              <w:jc w:val="both"/>
              <w:rPr>
                <w:sz w:val="20"/>
                <w:szCs w:val="20"/>
              </w:rPr>
            </w:pPr>
            <w:r w:rsidRPr="00244456">
              <w:rPr>
                <w:b/>
                <w:sz w:val="20"/>
                <w:szCs w:val="20"/>
                <w:u w:val="single"/>
              </w:rPr>
              <w:t>Action</w:t>
            </w:r>
            <w:r w:rsidRPr="00244456">
              <w:rPr>
                <w:sz w:val="20"/>
                <w:szCs w:val="20"/>
              </w:rPr>
              <w:t xml:space="preserve"> - A process for notifying Estates of any decommissioning of LEV systems is in place</w:t>
            </w:r>
          </w:p>
        </w:tc>
        <w:tc>
          <w:tcPr>
            <w:tcW w:w="1047" w:type="dxa"/>
            <w:vAlign w:val="center"/>
          </w:tcPr>
          <w:p w:rsidR="00875DC8" w:rsidRPr="00244456" w:rsidRDefault="00875DC8" w:rsidP="00450A49">
            <w:pPr>
              <w:jc w:val="center"/>
              <w:rPr>
                <w:sz w:val="20"/>
                <w:szCs w:val="20"/>
              </w:rPr>
            </w:pPr>
            <w:r w:rsidRPr="00244456">
              <w:rPr>
                <w:sz w:val="56"/>
                <w:szCs w:val="20"/>
              </w:rPr>
              <w:t>□</w:t>
            </w:r>
          </w:p>
        </w:tc>
        <w:tc>
          <w:tcPr>
            <w:tcW w:w="3841" w:type="dxa"/>
          </w:tcPr>
          <w:p w:rsidR="00875DC8" w:rsidRPr="00244456" w:rsidRDefault="00875DC8" w:rsidP="00450A49">
            <w:pPr>
              <w:jc w:val="both"/>
              <w:rPr>
                <w:sz w:val="20"/>
                <w:szCs w:val="20"/>
              </w:rPr>
            </w:pPr>
          </w:p>
        </w:tc>
      </w:tr>
      <w:tr w:rsidR="00875DC8" w:rsidRPr="006D6977" w:rsidTr="00450A49">
        <w:trPr>
          <w:trHeight w:val="730"/>
        </w:trPr>
        <w:tc>
          <w:tcPr>
            <w:tcW w:w="5064" w:type="dxa"/>
          </w:tcPr>
          <w:p w:rsidR="00875DC8" w:rsidRPr="00244456" w:rsidRDefault="00875DC8" w:rsidP="006013C1">
            <w:pPr>
              <w:jc w:val="both"/>
              <w:rPr>
                <w:sz w:val="20"/>
                <w:szCs w:val="20"/>
              </w:rPr>
            </w:pPr>
            <w:r w:rsidRPr="00244456">
              <w:rPr>
                <w:sz w:val="20"/>
                <w:szCs w:val="20"/>
              </w:rPr>
              <w:t>Other</w:t>
            </w:r>
          </w:p>
        </w:tc>
        <w:tc>
          <w:tcPr>
            <w:tcW w:w="1047" w:type="dxa"/>
            <w:vAlign w:val="center"/>
          </w:tcPr>
          <w:p w:rsidR="00875DC8" w:rsidRPr="00244456" w:rsidRDefault="00875DC8" w:rsidP="00450A49">
            <w:pPr>
              <w:jc w:val="center"/>
              <w:rPr>
                <w:sz w:val="20"/>
                <w:szCs w:val="20"/>
              </w:rPr>
            </w:pPr>
            <w:r w:rsidRPr="00244456">
              <w:rPr>
                <w:sz w:val="56"/>
                <w:szCs w:val="20"/>
              </w:rPr>
              <w:t>□</w:t>
            </w:r>
          </w:p>
        </w:tc>
        <w:tc>
          <w:tcPr>
            <w:tcW w:w="3841" w:type="dxa"/>
          </w:tcPr>
          <w:p w:rsidR="00875DC8" w:rsidRPr="00244456" w:rsidRDefault="00875DC8" w:rsidP="00450A49">
            <w:pPr>
              <w:jc w:val="both"/>
              <w:rPr>
                <w:sz w:val="20"/>
                <w:szCs w:val="20"/>
              </w:rPr>
            </w:pPr>
          </w:p>
        </w:tc>
      </w:tr>
    </w:tbl>
    <w:p w:rsidR="007A342A" w:rsidRDefault="007A342A" w:rsidP="006013C1"/>
    <w:sectPr w:rsidR="007A342A" w:rsidSect="004423C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3C1" w:rsidRDefault="006013C1" w:rsidP="006013C1">
      <w:r>
        <w:separator/>
      </w:r>
    </w:p>
  </w:endnote>
  <w:endnote w:type="continuationSeparator" w:id="0">
    <w:p w:rsidR="006013C1" w:rsidRDefault="006013C1" w:rsidP="0060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3C1" w:rsidRDefault="006013C1" w:rsidP="006013C1">
      <w:r>
        <w:separator/>
      </w:r>
    </w:p>
  </w:footnote>
  <w:footnote w:type="continuationSeparator" w:id="0">
    <w:p w:rsidR="006013C1" w:rsidRDefault="006013C1" w:rsidP="00601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3C1" w:rsidRDefault="006013C1" w:rsidP="006013C1">
    <w:pPr>
      <w:pStyle w:val="Header"/>
      <w:jc w:val="right"/>
    </w:pPr>
    <w:r>
      <w:rPr>
        <w:noProof/>
        <w:lang w:eastAsia="en-GB"/>
      </w:rPr>
      <w:drawing>
        <wp:inline distT="0" distB="0" distL="0" distR="0">
          <wp:extent cx="2045335"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png"/>
                  <pic:cNvPicPr/>
                </pic:nvPicPr>
                <pic:blipFill rotWithShape="1">
                  <a:blip r:embed="rId1" cstate="print">
                    <a:extLst>
                      <a:ext uri="{28A0092B-C50C-407E-A947-70E740481C1C}">
                        <a14:useLocalDpi xmlns:a14="http://schemas.microsoft.com/office/drawing/2010/main" val="0"/>
                      </a:ext>
                    </a:extLst>
                  </a:blip>
                  <a:srcRect t="14084" b="21127"/>
                  <a:stretch/>
                </pic:blipFill>
                <pic:spPr bwMode="auto">
                  <a:xfrm>
                    <a:off x="0" y="0"/>
                    <a:ext cx="2045335" cy="43815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DC8"/>
    <w:rsid w:val="006013C1"/>
    <w:rsid w:val="007A342A"/>
    <w:rsid w:val="00875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92AD9"/>
  <w15:chartTrackingRefBased/>
  <w15:docId w15:val="{9D43A411-F940-4AC6-AC5C-E78BFCE7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DC8"/>
    <w:pPr>
      <w:spacing w:after="0" w:line="240" w:lineRule="auto"/>
    </w:pPr>
    <w:rPr>
      <w:sz w:val="24"/>
      <w:szCs w:val="24"/>
    </w:rPr>
  </w:style>
  <w:style w:type="paragraph" w:styleId="Heading3">
    <w:name w:val="heading 3"/>
    <w:basedOn w:val="Normal"/>
    <w:next w:val="Normal"/>
    <w:link w:val="Heading3Char"/>
    <w:uiPriority w:val="9"/>
    <w:unhideWhenUsed/>
    <w:qFormat/>
    <w:rsid w:val="00875DC8"/>
    <w:pPr>
      <w:keepNext/>
      <w:keepLines/>
      <w:spacing w:before="40" w:line="259" w:lineRule="auto"/>
      <w:outlineLvl w:val="2"/>
    </w:pPr>
    <w:rPr>
      <w:rFonts w:asciiTheme="majorHAnsi" w:eastAsiaTheme="majorEastAsia" w:hAnsiTheme="majorHAnsi" w:cs="Times New Roman"/>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5DC8"/>
    <w:rPr>
      <w:rFonts w:asciiTheme="majorHAnsi" w:eastAsiaTheme="majorEastAsia" w:hAnsiTheme="majorHAnsi" w:cs="Times New Roman"/>
      <w:color w:val="1F4D78" w:themeColor="accent1" w:themeShade="7F"/>
      <w:sz w:val="24"/>
      <w:szCs w:val="24"/>
    </w:rPr>
  </w:style>
  <w:style w:type="table" w:customStyle="1" w:styleId="TableGrid1">
    <w:name w:val="Table Grid1"/>
    <w:basedOn w:val="TableNormal"/>
    <w:uiPriority w:val="59"/>
    <w:rsid w:val="00875DC8"/>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3C1"/>
    <w:pPr>
      <w:tabs>
        <w:tab w:val="center" w:pos="4513"/>
        <w:tab w:val="right" w:pos="9026"/>
      </w:tabs>
    </w:pPr>
  </w:style>
  <w:style w:type="character" w:customStyle="1" w:styleId="HeaderChar">
    <w:name w:val="Header Char"/>
    <w:basedOn w:val="DefaultParagraphFont"/>
    <w:link w:val="Header"/>
    <w:uiPriority w:val="99"/>
    <w:rsid w:val="006013C1"/>
    <w:rPr>
      <w:sz w:val="24"/>
      <w:szCs w:val="24"/>
    </w:rPr>
  </w:style>
  <w:style w:type="paragraph" w:styleId="Footer">
    <w:name w:val="footer"/>
    <w:basedOn w:val="Normal"/>
    <w:link w:val="FooterChar"/>
    <w:uiPriority w:val="99"/>
    <w:unhideWhenUsed/>
    <w:rsid w:val="006013C1"/>
    <w:pPr>
      <w:tabs>
        <w:tab w:val="center" w:pos="4513"/>
        <w:tab w:val="right" w:pos="9026"/>
      </w:tabs>
    </w:pPr>
  </w:style>
  <w:style w:type="character" w:customStyle="1" w:styleId="FooterChar">
    <w:name w:val="Footer Char"/>
    <w:basedOn w:val="DefaultParagraphFont"/>
    <w:link w:val="Footer"/>
    <w:uiPriority w:val="99"/>
    <w:rsid w:val="006013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Thompson (School of Chemistry)</dc:creator>
  <cp:keywords/>
  <dc:description/>
  <cp:lastModifiedBy>Maria Thompson (School of Chemistry)</cp:lastModifiedBy>
  <cp:revision>2</cp:revision>
  <dcterms:created xsi:type="dcterms:W3CDTF">2020-06-23T15:05:00Z</dcterms:created>
  <dcterms:modified xsi:type="dcterms:W3CDTF">2020-06-23T15:05:00Z</dcterms:modified>
</cp:coreProperties>
</file>