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5AA" w:rsidRDefault="00746CC8">
      <w:pPr>
        <w:pStyle w:val="Heading1"/>
        <w:rPr>
          <w:rFonts w:ascii="Arial" w:hAnsi="Arial"/>
          <w:sz w:val="20"/>
        </w:rPr>
      </w:pPr>
      <w:r>
        <w:rPr>
          <w:rFonts w:ascii="Arial" w:hAnsi="Arial"/>
          <w:sz w:val="20"/>
        </w:rPr>
        <w:t>EARLY SUBMISSION OF THESES:</w:t>
      </w:r>
      <w:r w:rsidR="00DC15AA">
        <w:rPr>
          <w:rFonts w:ascii="Arial" w:hAnsi="Arial"/>
          <w:sz w:val="20"/>
        </w:rPr>
        <w:t xml:space="preserve"> </w:t>
      </w:r>
    </w:p>
    <w:p w:rsidR="00746CC8" w:rsidRDefault="00746CC8">
      <w:pPr>
        <w:pStyle w:val="Heading1"/>
        <w:rPr>
          <w:rFonts w:ascii="Arial" w:hAnsi="Arial"/>
          <w:b w:val="0"/>
          <w:sz w:val="20"/>
        </w:rPr>
      </w:pPr>
      <w:r>
        <w:rPr>
          <w:rFonts w:ascii="Arial" w:hAnsi="Arial"/>
          <w:sz w:val="20"/>
        </w:rPr>
        <w:t xml:space="preserve">GUIDANCE FOR </w:t>
      </w:r>
      <w:r w:rsidR="00321FC5">
        <w:rPr>
          <w:rFonts w:ascii="Arial" w:hAnsi="Arial"/>
          <w:sz w:val="20"/>
        </w:rPr>
        <w:t>POSTGRADUATE RESEARCHERS</w:t>
      </w:r>
      <w:r>
        <w:rPr>
          <w:rFonts w:ascii="Arial" w:hAnsi="Arial"/>
          <w:sz w:val="20"/>
        </w:rPr>
        <w:t xml:space="preserve"> AND SCHOOLS</w:t>
      </w:r>
    </w:p>
    <w:p w:rsidR="00746CC8" w:rsidRDefault="00746CC8">
      <w:pPr>
        <w:jc w:val="center"/>
        <w:rPr>
          <w:rFonts w:ascii="Arial" w:hAnsi="Arial"/>
          <w:b/>
          <w:sz w:val="20"/>
        </w:rPr>
      </w:pPr>
    </w:p>
    <w:tbl>
      <w:tblPr>
        <w:tblW w:w="0" w:type="auto"/>
        <w:tblLayout w:type="fixed"/>
        <w:tblLook w:val="0000"/>
      </w:tblPr>
      <w:tblGrid>
        <w:gridCol w:w="675"/>
        <w:gridCol w:w="8364"/>
      </w:tblGrid>
      <w:tr w:rsidR="00746CC8">
        <w:tblPrEx>
          <w:tblCellMar>
            <w:top w:w="0" w:type="dxa"/>
            <w:bottom w:w="0" w:type="dxa"/>
          </w:tblCellMar>
        </w:tblPrEx>
        <w:tc>
          <w:tcPr>
            <w:tcW w:w="675" w:type="dxa"/>
          </w:tcPr>
          <w:p w:rsidR="00746CC8" w:rsidRDefault="00746CC8">
            <w:pPr>
              <w:rPr>
                <w:rFonts w:ascii="Arial" w:hAnsi="Arial"/>
                <w:b/>
                <w:sz w:val="20"/>
              </w:rPr>
            </w:pPr>
            <w:r>
              <w:rPr>
                <w:rFonts w:ascii="Arial" w:hAnsi="Arial"/>
                <w:b/>
                <w:sz w:val="20"/>
              </w:rPr>
              <w:t>1.</w:t>
            </w:r>
          </w:p>
        </w:tc>
        <w:tc>
          <w:tcPr>
            <w:tcW w:w="8364" w:type="dxa"/>
          </w:tcPr>
          <w:p w:rsidR="00746CC8" w:rsidRDefault="00746CC8">
            <w:pPr>
              <w:pStyle w:val="Heading2"/>
              <w:rPr>
                <w:rFonts w:ascii="Arial" w:hAnsi="Arial"/>
                <w:sz w:val="20"/>
              </w:rPr>
            </w:pPr>
            <w:r>
              <w:rPr>
                <w:rFonts w:ascii="Arial" w:hAnsi="Arial"/>
                <w:sz w:val="20"/>
              </w:rPr>
              <w:t>What is Early Submission?</w:t>
            </w:r>
          </w:p>
        </w:tc>
      </w:tr>
      <w:tr w:rsidR="00746CC8">
        <w:tblPrEx>
          <w:tblCellMar>
            <w:top w:w="0" w:type="dxa"/>
            <w:bottom w:w="0" w:type="dxa"/>
          </w:tblCellMar>
        </w:tblPrEx>
        <w:tc>
          <w:tcPr>
            <w:tcW w:w="675" w:type="dxa"/>
          </w:tcPr>
          <w:p w:rsidR="00746CC8" w:rsidRDefault="00746CC8">
            <w:pPr>
              <w:rPr>
                <w:rFonts w:ascii="Arial" w:hAnsi="Arial"/>
                <w:sz w:val="20"/>
              </w:rPr>
            </w:pPr>
          </w:p>
        </w:tc>
        <w:tc>
          <w:tcPr>
            <w:tcW w:w="8364" w:type="dxa"/>
          </w:tcPr>
          <w:p w:rsidR="00746CC8" w:rsidRDefault="00746CC8">
            <w:pPr>
              <w:rPr>
                <w:rFonts w:ascii="Arial" w:hAnsi="Arial"/>
                <w:sz w:val="20"/>
              </w:rPr>
            </w:pPr>
          </w:p>
        </w:tc>
      </w:tr>
      <w:tr w:rsidR="00746CC8">
        <w:tblPrEx>
          <w:tblCellMar>
            <w:top w:w="0" w:type="dxa"/>
            <w:bottom w:w="0" w:type="dxa"/>
          </w:tblCellMar>
        </w:tblPrEx>
        <w:tc>
          <w:tcPr>
            <w:tcW w:w="675" w:type="dxa"/>
          </w:tcPr>
          <w:p w:rsidR="00746CC8" w:rsidRDefault="00746CC8">
            <w:pPr>
              <w:rPr>
                <w:rFonts w:ascii="Arial" w:hAnsi="Arial"/>
                <w:sz w:val="20"/>
              </w:rPr>
            </w:pPr>
            <w:r>
              <w:rPr>
                <w:rFonts w:ascii="Arial" w:hAnsi="Arial"/>
                <w:sz w:val="20"/>
              </w:rPr>
              <w:t>1.1</w:t>
            </w:r>
          </w:p>
        </w:tc>
        <w:tc>
          <w:tcPr>
            <w:tcW w:w="8364" w:type="dxa"/>
          </w:tcPr>
          <w:p w:rsidR="00746CC8" w:rsidRDefault="007F0A1D">
            <w:pPr>
              <w:rPr>
                <w:rFonts w:ascii="Arial" w:hAnsi="Arial"/>
                <w:sz w:val="20"/>
              </w:rPr>
            </w:pPr>
            <w:r>
              <w:rPr>
                <w:rFonts w:ascii="Arial" w:hAnsi="Arial"/>
                <w:sz w:val="20"/>
              </w:rPr>
              <w:t xml:space="preserve">The University </w:t>
            </w:r>
            <w:r w:rsidR="00746CC8">
              <w:rPr>
                <w:rFonts w:ascii="Arial" w:hAnsi="Arial"/>
                <w:sz w:val="20"/>
              </w:rPr>
              <w:t xml:space="preserve">Regulation </w:t>
            </w:r>
            <w:r>
              <w:rPr>
                <w:rFonts w:ascii="Arial" w:hAnsi="Arial"/>
                <w:sz w:val="20"/>
              </w:rPr>
              <w:t>6.2.3</w:t>
            </w:r>
            <w:r w:rsidR="00746CC8">
              <w:rPr>
                <w:rFonts w:ascii="Arial" w:hAnsi="Arial"/>
                <w:sz w:val="20"/>
              </w:rPr>
              <w:t xml:space="preserve"> </w:t>
            </w:r>
            <w:r w:rsidR="00321FC5">
              <w:rPr>
                <w:rFonts w:ascii="Arial" w:hAnsi="Arial"/>
                <w:sz w:val="20"/>
              </w:rPr>
              <w:t>(</w:t>
            </w:r>
            <w:hyperlink r:id="rId7" w:history="1">
              <w:r w:rsidR="00321FC5" w:rsidRPr="00A770ED">
                <w:rPr>
                  <w:rStyle w:val="Hyperlink"/>
                  <w:rFonts w:ascii="Arial" w:hAnsi="Arial"/>
                  <w:sz w:val="20"/>
                </w:rPr>
                <w:t>http://www.birmingham.ac.uk/Documents/university/legal/regulations-part6.pdf</w:t>
              </w:r>
            </w:hyperlink>
            <w:r w:rsidR="00321FC5">
              <w:rPr>
                <w:rFonts w:ascii="Arial" w:hAnsi="Arial"/>
                <w:sz w:val="20"/>
              </w:rPr>
              <w:t xml:space="preserve">) </w:t>
            </w:r>
            <w:r w:rsidR="00746CC8">
              <w:rPr>
                <w:rFonts w:ascii="Arial" w:hAnsi="Arial"/>
                <w:sz w:val="20"/>
              </w:rPr>
              <w:t>set</w:t>
            </w:r>
            <w:r>
              <w:rPr>
                <w:rFonts w:ascii="Arial" w:hAnsi="Arial"/>
                <w:sz w:val="20"/>
              </w:rPr>
              <w:t>s</w:t>
            </w:r>
            <w:r w:rsidR="00746CC8">
              <w:rPr>
                <w:rFonts w:ascii="Arial" w:hAnsi="Arial"/>
                <w:sz w:val="20"/>
              </w:rPr>
              <w:t xml:space="preserve"> out the minimum and maximum periods of study for each </w:t>
            </w:r>
            <w:r w:rsidR="00321FC5">
              <w:rPr>
                <w:rFonts w:ascii="Arial" w:hAnsi="Arial"/>
                <w:sz w:val="20"/>
              </w:rPr>
              <w:t>research degree qualification.</w:t>
            </w:r>
          </w:p>
        </w:tc>
      </w:tr>
    </w:tbl>
    <w:p w:rsidR="007F0A1D" w:rsidRDefault="007F0A1D">
      <w:pPr>
        <w:rPr>
          <w:rFonts w:ascii="Arial" w:hAnsi="Arial"/>
          <w:sz w:val="20"/>
        </w:rPr>
      </w:pPr>
    </w:p>
    <w:tbl>
      <w:tblPr>
        <w:tblW w:w="0" w:type="auto"/>
        <w:tblLayout w:type="fixed"/>
        <w:tblLook w:val="0000"/>
      </w:tblPr>
      <w:tblGrid>
        <w:gridCol w:w="675"/>
        <w:gridCol w:w="8364"/>
      </w:tblGrid>
      <w:tr w:rsidR="00746CC8">
        <w:tblPrEx>
          <w:tblCellMar>
            <w:top w:w="0" w:type="dxa"/>
            <w:bottom w:w="0" w:type="dxa"/>
          </w:tblCellMar>
        </w:tblPrEx>
        <w:tc>
          <w:tcPr>
            <w:tcW w:w="675" w:type="dxa"/>
          </w:tcPr>
          <w:p w:rsidR="00746CC8" w:rsidRDefault="00746CC8">
            <w:pPr>
              <w:rPr>
                <w:rFonts w:ascii="Arial" w:hAnsi="Arial"/>
                <w:sz w:val="20"/>
              </w:rPr>
            </w:pPr>
            <w:r>
              <w:rPr>
                <w:rFonts w:ascii="Arial" w:hAnsi="Arial"/>
                <w:sz w:val="20"/>
              </w:rPr>
              <w:t>1.2</w:t>
            </w:r>
          </w:p>
        </w:tc>
        <w:tc>
          <w:tcPr>
            <w:tcW w:w="8364" w:type="dxa"/>
          </w:tcPr>
          <w:p w:rsidR="00746CC8" w:rsidRDefault="00321FC5">
            <w:pPr>
              <w:rPr>
                <w:rFonts w:ascii="Arial" w:hAnsi="Arial"/>
                <w:sz w:val="20"/>
              </w:rPr>
            </w:pPr>
            <w:r>
              <w:rPr>
                <w:rFonts w:ascii="Arial" w:hAnsi="Arial"/>
                <w:sz w:val="20"/>
              </w:rPr>
              <w:t>Postgraduate researchers</w:t>
            </w:r>
            <w:r w:rsidR="00746CC8">
              <w:rPr>
                <w:rFonts w:ascii="Arial" w:hAnsi="Arial"/>
                <w:sz w:val="20"/>
              </w:rPr>
              <w:t xml:space="preserve"> are expected to submit their theses for examination after completion of their minimum period of study and before the end of their maximum period of study.</w:t>
            </w:r>
          </w:p>
        </w:tc>
      </w:tr>
      <w:tr w:rsidR="00746CC8">
        <w:tblPrEx>
          <w:tblCellMar>
            <w:top w:w="0" w:type="dxa"/>
            <w:bottom w:w="0" w:type="dxa"/>
          </w:tblCellMar>
        </w:tblPrEx>
        <w:tc>
          <w:tcPr>
            <w:tcW w:w="675" w:type="dxa"/>
          </w:tcPr>
          <w:p w:rsidR="00746CC8" w:rsidRDefault="00746CC8">
            <w:pPr>
              <w:rPr>
                <w:rFonts w:ascii="Arial" w:hAnsi="Arial"/>
                <w:sz w:val="20"/>
              </w:rPr>
            </w:pPr>
          </w:p>
        </w:tc>
        <w:tc>
          <w:tcPr>
            <w:tcW w:w="8364" w:type="dxa"/>
          </w:tcPr>
          <w:p w:rsidR="00746CC8" w:rsidRDefault="00746CC8">
            <w:pPr>
              <w:rPr>
                <w:rFonts w:ascii="Arial" w:hAnsi="Arial"/>
                <w:sz w:val="20"/>
              </w:rPr>
            </w:pPr>
          </w:p>
        </w:tc>
      </w:tr>
      <w:tr w:rsidR="00746CC8">
        <w:tblPrEx>
          <w:tblCellMar>
            <w:top w:w="0" w:type="dxa"/>
            <w:bottom w:w="0" w:type="dxa"/>
          </w:tblCellMar>
        </w:tblPrEx>
        <w:tc>
          <w:tcPr>
            <w:tcW w:w="675" w:type="dxa"/>
          </w:tcPr>
          <w:p w:rsidR="00746CC8" w:rsidRDefault="00746CC8">
            <w:pPr>
              <w:rPr>
                <w:rFonts w:ascii="Arial" w:hAnsi="Arial"/>
                <w:sz w:val="20"/>
              </w:rPr>
            </w:pPr>
            <w:r>
              <w:rPr>
                <w:rFonts w:ascii="Arial" w:hAnsi="Arial"/>
                <w:sz w:val="20"/>
              </w:rPr>
              <w:t>1.3</w:t>
            </w:r>
          </w:p>
        </w:tc>
        <w:tc>
          <w:tcPr>
            <w:tcW w:w="8364" w:type="dxa"/>
          </w:tcPr>
          <w:p w:rsidR="00746CC8" w:rsidRDefault="00746CC8" w:rsidP="00321FC5">
            <w:pPr>
              <w:rPr>
                <w:rFonts w:ascii="Arial" w:hAnsi="Arial"/>
                <w:sz w:val="20"/>
              </w:rPr>
            </w:pPr>
            <w:r>
              <w:rPr>
                <w:rFonts w:ascii="Arial" w:hAnsi="Arial"/>
                <w:sz w:val="20"/>
              </w:rPr>
              <w:t xml:space="preserve">The end of the minimum period of study is used to calculate the earliest date on which </w:t>
            </w:r>
            <w:r w:rsidR="00321FC5">
              <w:rPr>
                <w:rFonts w:ascii="Arial" w:hAnsi="Arial"/>
                <w:sz w:val="20"/>
              </w:rPr>
              <w:t>postgraduate researchers</w:t>
            </w:r>
            <w:r>
              <w:rPr>
                <w:rFonts w:ascii="Arial" w:hAnsi="Arial"/>
                <w:sz w:val="20"/>
              </w:rPr>
              <w:t xml:space="preserve"> may submit their theses. </w:t>
            </w:r>
          </w:p>
        </w:tc>
      </w:tr>
      <w:tr w:rsidR="00746CC8">
        <w:tblPrEx>
          <w:tblCellMar>
            <w:top w:w="0" w:type="dxa"/>
            <w:bottom w:w="0" w:type="dxa"/>
          </w:tblCellMar>
        </w:tblPrEx>
        <w:tc>
          <w:tcPr>
            <w:tcW w:w="675" w:type="dxa"/>
          </w:tcPr>
          <w:p w:rsidR="00746CC8" w:rsidRDefault="00746CC8">
            <w:pPr>
              <w:rPr>
                <w:rFonts w:ascii="Arial" w:hAnsi="Arial"/>
                <w:sz w:val="20"/>
              </w:rPr>
            </w:pPr>
          </w:p>
        </w:tc>
        <w:tc>
          <w:tcPr>
            <w:tcW w:w="8364" w:type="dxa"/>
          </w:tcPr>
          <w:p w:rsidR="00746CC8" w:rsidRDefault="00746CC8">
            <w:pPr>
              <w:pStyle w:val="Header"/>
              <w:tabs>
                <w:tab w:val="clear" w:pos="4320"/>
                <w:tab w:val="clear" w:pos="8640"/>
              </w:tabs>
              <w:rPr>
                <w:rFonts w:ascii="Arial" w:hAnsi="Arial"/>
                <w:sz w:val="20"/>
              </w:rPr>
            </w:pPr>
          </w:p>
        </w:tc>
      </w:tr>
      <w:tr w:rsidR="00746CC8">
        <w:tblPrEx>
          <w:tblCellMar>
            <w:top w:w="0" w:type="dxa"/>
            <w:bottom w:w="0" w:type="dxa"/>
          </w:tblCellMar>
        </w:tblPrEx>
        <w:tc>
          <w:tcPr>
            <w:tcW w:w="675" w:type="dxa"/>
          </w:tcPr>
          <w:p w:rsidR="00746CC8" w:rsidRDefault="00746CC8">
            <w:pPr>
              <w:rPr>
                <w:rFonts w:ascii="Arial" w:hAnsi="Arial"/>
                <w:sz w:val="20"/>
              </w:rPr>
            </w:pPr>
            <w:r>
              <w:rPr>
                <w:rFonts w:ascii="Arial" w:hAnsi="Arial"/>
                <w:sz w:val="20"/>
              </w:rPr>
              <w:t>1.4</w:t>
            </w:r>
          </w:p>
        </w:tc>
        <w:tc>
          <w:tcPr>
            <w:tcW w:w="8364" w:type="dxa"/>
          </w:tcPr>
          <w:p w:rsidR="00746CC8" w:rsidRDefault="007F0A1D" w:rsidP="00270F6B">
            <w:pPr>
              <w:autoSpaceDE w:val="0"/>
              <w:autoSpaceDN w:val="0"/>
              <w:adjustRightInd w:val="0"/>
              <w:rPr>
                <w:rFonts w:ascii="Arial" w:hAnsi="Arial"/>
                <w:sz w:val="20"/>
              </w:rPr>
            </w:pPr>
            <w:r>
              <w:rPr>
                <w:rFonts w:ascii="Arial" w:hAnsi="Arial"/>
                <w:sz w:val="20"/>
              </w:rPr>
              <w:t>University Regulation 7</w:t>
            </w:r>
            <w:r w:rsidR="00746CC8">
              <w:rPr>
                <w:rFonts w:ascii="Arial" w:hAnsi="Arial"/>
                <w:sz w:val="20"/>
              </w:rPr>
              <w:t>.4.3(</w:t>
            </w:r>
            <w:r>
              <w:rPr>
                <w:rFonts w:ascii="Arial" w:hAnsi="Arial"/>
                <w:sz w:val="20"/>
              </w:rPr>
              <w:t>b)</w:t>
            </w:r>
            <w:r w:rsidR="00746CC8">
              <w:rPr>
                <w:rFonts w:ascii="Arial" w:hAnsi="Arial"/>
                <w:sz w:val="20"/>
              </w:rPr>
              <w:t xml:space="preserve"> </w:t>
            </w:r>
            <w:r>
              <w:rPr>
                <w:rFonts w:ascii="Arial" w:hAnsi="Arial"/>
                <w:sz w:val="20"/>
              </w:rPr>
              <w:t xml:space="preserve">states </w:t>
            </w:r>
            <w:r w:rsidR="00321FC5">
              <w:rPr>
                <w:rFonts w:ascii="Arial" w:hAnsi="Arial"/>
                <w:sz w:val="20"/>
              </w:rPr>
              <w:br/>
            </w:r>
            <w:r w:rsidR="00321FC5" w:rsidRPr="00321FC5">
              <w:rPr>
                <w:rFonts w:ascii="Arial" w:hAnsi="Arial" w:cs="Arial"/>
                <w:i/>
                <w:sz w:val="20"/>
              </w:rPr>
              <w:t>A Registered Student will be expected to submit his or her thesis after completing the minimum period of study prescribed in section 6 and must submit the thesis within the maximum period of study prescribed therein.</w:t>
            </w:r>
            <w:r w:rsidR="00321FC5">
              <w:rPr>
                <w:rFonts w:ascii="Arial" w:hAnsi="Arial" w:cs="Arial"/>
                <w:i/>
                <w:sz w:val="20"/>
              </w:rPr>
              <w:t xml:space="preserve"> </w:t>
            </w:r>
            <w:r w:rsidR="00321FC5" w:rsidRPr="00321FC5">
              <w:rPr>
                <w:rFonts w:ascii="Arial" w:hAnsi="Arial" w:cs="Arial"/>
                <w:i/>
                <w:sz w:val="20"/>
              </w:rPr>
              <w:t>However, a Registered Student may be permitted to submit his or her thesis and any other required work before completing the prescribed minimum period of study on the written recommendation of his or her supervisor(s). Any such recommendation shall be subject to the approval of the Senate or under delegated authority.</w:t>
            </w:r>
          </w:p>
        </w:tc>
      </w:tr>
      <w:tr w:rsidR="00DC15AA">
        <w:tblPrEx>
          <w:tblCellMar>
            <w:top w:w="0" w:type="dxa"/>
            <w:bottom w:w="0" w:type="dxa"/>
          </w:tblCellMar>
        </w:tblPrEx>
        <w:tc>
          <w:tcPr>
            <w:tcW w:w="675" w:type="dxa"/>
          </w:tcPr>
          <w:p w:rsidR="00DC15AA" w:rsidRDefault="00DC15AA">
            <w:pPr>
              <w:rPr>
                <w:rFonts w:ascii="Arial" w:hAnsi="Arial"/>
                <w:sz w:val="20"/>
              </w:rPr>
            </w:pPr>
          </w:p>
        </w:tc>
        <w:tc>
          <w:tcPr>
            <w:tcW w:w="8364" w:type="dxa"/>
          </w:tcPr>
          <w:p w:rsidR="00DC15AA" w:rsidRDefault="00DC15AA">
            <w:pPr>
              <w:rPr>
                <w:rFonts w:ascii="Arial" w:hAnsi="Arial"/>
                <w:sz w:val="20"/>
              </w:rPr>
            </w:pPr>
          </w:p>
        </w:tc>
      </w:tr>
      <w:tr w:rsidR="00DC15AA">
        <w:tblPrEx>
          <w:tblCellMar>
            <w:top w:w="0" w:type="dxa"/>
            <w:bottom w:w="0" w:type="dxa"/>
          </w:tblCellMar>
        </w:tblPrEx>
        <w:tc>
          <w:tcPr>
            <w:tcW w:w="675" w:type="dxa"/>
          </w:tcPr>
          <w:p w:rsidR="00DC15AA" w:rsidRDefault="00DC15AA">
            <w:pPr>
              <w:rPr>
                <w:rFonts w:ascii="Arial" w:hAnsi="Arial"/>
                <w:sz w:val="20"/>
              </w:rPr>
            </w:pPr>
            <w:r>
              <w:rPr>
                <w:rFonts w:ascii="Arial" w:hAnsi="Arial"/>
                <w:sz w:val="20"/>
              </w:rPr>
              <w:t>1.5</w:t>
            </w:r>
          </w:p>
        </w:tc>
        <w:tc>
          <w:tcPr>
            <w:tcW w:w="8364" w:type="dxa"/>
          </w:tcPr>
          <w:p w:rsidR="00DC15AA" w:rsidRDefault="00321FC5" w:rsidP="005D5987">
            <w:pPr>
              <w:rPr>
                <w:rFonts w:ascii="Arial" w:hAnsi="Arial"/>
                <w:sz w:val="20"/>
              </w:rPr>
            </w:pPr>
            <w:r>
              <w:rPr>
                <w:rFonts w:ascii="Arial" w:hAnsi="Arial"/>
                <w:b/>
                <w:sz w:val="20"/>
              </w:rPr>
              <w:t>Requests for e</w:t>
            </w:r>
            <w:r w:rsidRPr="007F0A1D">
              <w:rPr>
                <w:rFonts w:ascii="Arial" w:hAnsi="Arial"/>
                <w:b/>
                <w:sz w:val="20"/>
              </w:rPr>
              <w:t xml:space="preserve">arly submission </w:t>
            </w:r>
            <w:r>
              <w:rPr>
                <w:rFonts w:ascii="Arial" w:hAnsi="Arial"/>
                <w:b/>
                <w:sz w:val="20"/>
              </w:rPr>
              <w:t xml:space="preserve">of a thesis are regarded as exceptional. </w:t>
            </w:r>
            <w:r w:rsidRPr="00270F6B">
              <w:rPr>
                <w:rFonts w:ascii="Arial" w:hAnsi="Arial"/>
                <w:sz w:val="20"/>
              </w:rPr>
              <w:t>E</w:t>
            </w:r>
            <w:r w:rsidR="00DC15AA">
              <w:rPr>
                <w:rFonts w:ascii="Arial" w:hAnsi="Arial"/>
                <w:sz w:val="20"/>
              </w:rPr>
              <w:t xml:space="preserve">ach request </w:t>
            </w:r>
            <w:r>
              <w:rPr>
                <w:rFonts w:ascii="Arial" w:hAnsi="Arial"/>
                <w:sz w:val="20"/>
              </w:rPr>
              <w:t>is considered on its merits and r</w:t>
            </w:r>
            <w:r w:rsidR="00DC15AA">
              <w:rPr>
                <w:rFonts w:ascii="Arial" w:hAnsi="Arial"/>
                <w:sz w:val="20"/>
              </w:rPr>
              <w:t xml:space="preserve">equests </w:t>
            </w:r>
            <w:r>
              <w:rPr>
                <w:rFonts w:ascii="Arial" w:hAnsi="Arial"/>
                <w:sz w:val="20"/>
              </w:rPr>
              <w:t>are</w:t>
            </w:r>
            <w:r w:rsidR="00DC15AA">
              <w:rPr>
                <w:rFonts w:ascii="Arial" w:hAnsi="Arial"/>
                <w:sz w:val="20"/>
              </w:rPr>
              <w:t xml:space="preserve"> normally only considered on academic grounds. Financial difficulties, work commitments or taking up employment are normally insufficient reasons for requesting early submission.</w:t>
            </w:r>
            <w:r w:rsidR="0003490C">
              <w:rPr>
                <w:rFonts w:ascii="Arial" w:hAnsi="Arial"/>
                <w:sz w:val="20"/>
              </w:rPr>
              <w:t xml:space="preserve">  Early submission is not a reduction in the minimum period of registration – </w:t>
            </w:r>
            <w:r w:rsidR="0003490C" w:rsidRPr="00270F6B">
              <w:rPr>
                <w:rFonts w:ascii="Arial" w:hAnsi="Arial"/>
                <w:sz w:val="20"/>
              </w:rPr>
              <w:t>see</w:t>
            </w:r>
            <w:r w:rsidR="0003490C" w:rsidRPr="0079457A">
              <w:rPr>
                <w:rFonts w:ascii="Arial" w:hAnsi="Arial"/>
                <w:b/>
                <w:sz w:val="20"/>
              </w:rPr>
              <w:t xml:space="preserve"> </w:t>
            </w:r>
            <w:r w:rsidR="00270F6B" w:rsidRPr="001D64F3">
              <w:rPr>
                <w:rFonts w:ascii="Arial" w:hAnsi="Arial"/>
                <w:sz w:val="20"/>
              </w:rPr>
              <w:t>Reduction in the Period of Registration</w:t>
            </w:r>
            <w:r w:rsidR="001D64F3" w:rsidRPr="001D64F3">
              <w:rPr>
                <w:rFonts w:ascii="Arial" w:hAnsi="Arial"/>
                <w:sz w:val="20"/>
              </w:rPr>
              <w:t>:</w:t>
            </w:r>
            <w:r w:rsidR="005D5987">
              <w:t xml:space="preserve"> </w:t>
            </w:r>
            <w:hyperlink r:id="rId8" w:history="1">
              <w:r w:rsidR="005D5987" w:rsidRPr="00E41F47">
                <w:rPr>
                  <w:rStyle w:val="Hyperlink"/>
                  <w:rFonts w:ascii="Arial" w:hAnsi="Arial"/>
                  <w:sz w:val="20"/>
                </w:rPr>
                <w:t>http://www.graduateschool.bham.ac.uk/rsa/reduction.shtml</w:t>
              </w:r>
            </w:hyperlink>
            <w:r w:rsidR="005D5987">
              <w:rPr>
                <w:rFonts w:ascii="Arial" w:hAnsi="Arial"/>
                <w:sz w:val="20"/>
              </w:rPr>
              <w:t xml:space="preserve">. </w:t>
            </w:r>
            <w:r w:rsidR="00353EE5">
              <w:rPr>
                <w:rFonts w:ascii="Arial" w:hAnsi="Arial" w:cs="Arial"/>
                <w:sz w:val="20"/>
                <w:lang w:val="en-US"/>
              </w:rPr>
              <w:t>.</w:t>
            </w:r>
          </w:p>
        </w:tc>
      </w:tr>
      <w:tr w:rsidR="00746CC8">
        <w:tblPrEx>
          <w:tblCellMar>
            <w:top w:w="0" w:type="dxa"/>
            <w:bottom w:w="0" w:type="dxa"/>
          </w:tblCellMar>
        </w:tblPrEx>
        <w:tc>
          <w:tcPr>
            <w:tcW w:w="675" w:type="dxa"/>
          </w:tcPr>
          <w:p w:rsidR="00746CC8" w:rsidRDefault="00746CC8">
            <w:pPr>
              <w:rPr>
                <w:rFonts w:ascii="Arial" w:hAnsi="Arial"/>
                <w:sz w:val="20"/>
              </w:rPr>
            </w:pPr>
          </w:p>
        </w:tc>
        <w:tc>
          <w:tcPr>
            <w:tcW w:w="8364" w:type="dxa"/>
          </w:tcPr>
          <w:p w:rsidR="00746CC8" w:rsidRDefault="00746CC8">
            <w:pPr>
              <w:rPr>
                <w:rFonts w:ascii="Arial" w:hAnsi="Arial"/>
                <w:sz w:val="20"/>
              </w:rPr>
            </w:pPr>
          </w:p>
        </w:tc>
      </w:tr>
      <w:tr w:rsidR="00746CC8">
        <w:tblPrEx>
          <w:tblCellMar>
            <w:top w:w="0" w:type="dxa"/>
            <w:bottom w:w="0" w:type="dxa"/>
          </w:tblCellMar>
        </w:tblPrEx>
        <w:tc>
          <w:tcPr>
            <w:tcW w:w="675" w:type="dxa"/>
          </w:tcPr>
          <w:p w:rsidR="00746CC8" w:rsidRDefault="00746CC8">
            <w:pPr>
              <w:pStyle w:val="Header"/>
              <w:tabs>
                <w:tab w:val="clear" w:pos="4320"/>
                <w:tab w:val="clear" w:pos="8640"/>
              </w:tabs>
              <w:rPr>
                <w:rFonts w:ascii="Arial" w:hAnsi="Arial"/>
                <w:b/>
                <w:sz w:val="20"/>
              </w:rPr>
            </w:pPr>
            <w:r>
              <w:rPr>
                <w:rFonts w:ascii="Arial" w:hAnsi="Arial"/>
                <w:b/>
                <w:sz w:val="20"/>
              </w:rPr>
              <w:t>2.</w:t>
            </w:r>
          </w:p>
        </w:tc>
        <w:tc>
          <w:tcPr>
            <w:tcW w:w="8364" w:type="dxa"/>
          </w:tcPr>
          <w:p w:rsidR="00746CC8" w:rsidRDefault="00746CC8">
            <w:pPr>
              <w:pStyle w:val="Heading2"/>
              <w:rPr>
                <w:rFonts w:ascii="Arial" w:hAnsi="Arial"/>
                <w:sz w:val="20"/>
              </w:rPr>
            </w:pPr>
            <w:r>
              <w:rPr>
                <w:rFonts w:ascii="Arial" w:hAnsi="Arial"/>
                <w:sz w:val="20"/>
              </w:rPr>
              <w:t>How to apply for Early Submission of a Thesis</w:t>
            </w:r>
          </w:p>
        </w:tc>
      </w:tr>
      <w:tr w:rsidR="00746CC8">
        <w:tblPrEx>
          <w:tblCellMar>
            <w:top w:w="0" w:type="dxa"/>
            <w:bottom w:w="0" w:type="dxa"/>
          </w:tblCellMar>
        </w:tblPrEx>
        <w:tc>
          <w:tcPr>
            <w:tcW w:w="675" w:type="dxa"/>
          </w:tcPr>
          <w:p w:rsidR="00746CC8" w:rsidRDefault="00746CC8">
            <w:pPr>
              <w:pStyle w:val="Header"/>
              <w:tabs>
                <w:tab w:val="clear" w:pos="4320"/>
                <w:tab w:val="clear" w:pos="8640"/>
              </w:tabs>
              <w:rPr>
                <w:rFonts w:ascii="Arial" w:hAnsi="Arial"/>
                <w:b/>
                <w:sz w:val="20"/>
              </w:rPr>
            </w:pPr>
          </w:p>
        </w:tc>
        <w:tc>
          <w:tcPr>
            <w:tcW w:w="8364" w:type="dxa"/>
          </w:tcPr>
          <w:p w:rsidR="00746CC8" w:rsidRDefault="00746CC8">
            <w:pPr>
              <w:rPr>
                <w:rFonts w:ascii="Arial" w:hAnsi="Arial"/>
                <w:b/>
                <w:sz w:val="20"/>
              </w:rPr>
            </w:pPr>
          </w:p>
        </w:tc>
      </w:tr>
      <w:tr w:rsidR="00746CC8">
        <w:tblPrEx>
          <w:tblCellMar>
            <w:top w:w="0" w:type="dxa"/>
            <w:bottom w:w="0" w:type="dxa"/>
          </w:tblCellMar>
        </w:tblPrEx>
        <w:tc>
          <w:tcPr>
            <w:tcW w:w="675" w:type="dxa"/>
          </w:tcPr>
          <w:p w:rsidR="00746CC8" w:rsidRDefault="00746CC8">
            <w:pPr>
              <w:pStyle w:val="Header"/>
              <w:tabs>
                <w:tab w:val="clear" w:pos="4320"/>
                <w:tab w:val="clear" w:pos="8640"/>
              </w:tabs>
              <w:rPr>
                <w:rFonts w:ascii="Arial" w:hAnsi="Arial"/>
                <w:sz w:val="20"/>
              </w:rPr>
            </w:pPr>
            <w:r>
              <w:rPr>
                <w:rFonts w:ascii="Arial" w:hAnsi="Arial"/>
                <w:sz w:val="20"/>
              </w:rPr>
              <w:t>2.1</w:t>
            </w:r>
          </w:p>
        </w:tc>
        <w:tc>
          <w:tcPr>
            <w:tcW w:w="8364" w:type="dxa"/>
          </w:tcPr>
          <w:p w:rsidR="00746CC8" w:rsidRPr="007F286E" w:rsidRDefault="00746CC8" w:rsidP="00294CCB">
            <w:pPr>
              <w:rPr>
                <w:rFonts w:ascii="Arial" w:hAnsi="Arial"/>
                <w:sz w:val="20"/>
              </w:rPr>
            </w:pPr>
            <w:r>
              <w:rPr>
                <w:rFonts w:ascii="Arial" w:hAnsi="Arial"/>
                <w:sz w:val="20"/>
              </w:rPr>
              <w:t>Requests should be made</w:t>
            </w:r>
            <w:r w:rsidR="007F0A1D">
              <w:rPr>
                <w:rFonts w:ascii="Arial" w:hAnsi="Arial"/>
                <w:sz w:val="20"/>
              </w:rPr>
              <w:t xml:space="preserve"> </w:t>
            </w:r>
            <w:r>
              <w:rPr>
                <w:rFonts w:ascii="Arial" w:hAnsi="Arial"/>
                <w:b/>
                <w:sz w:val="20"/>
              </w:rPr>
              <w:t>at least three months</w:t>
            </w:r>
            <w:r>
              <w:rPr>
                <w:rFonts w:ascii="Arial" w:hAnsi="Arial"/>
                <w:sz w:val="20"/>
              </w:rPr>
              <w:t xml:space="preserve"> before the proposed date of submission. </w:t>
            </w:r>
            <w:r w:rsidR="007F0A1D">
              <w:rPr>
                <w:rFonts w:ascii="Arial" w:hAnsi="Arial"/>
                <w:sz w:val="20"/>
              </w:rPr>
              <w:t>An Early Submission request form is available from</w:t>
            </w:r>
            <w:r>
              <w:rPr>
                <w:rFonts w:ascii="Arial" w:hAnsi="Arial"/>
                <w:sz w:val="20"/>
              </w:rPr>
              <w:t xml:space="preserve"> the following web address: </w:t>
            </w:r>
            <w:hyperlink r:id="rId9" w:history="1">
              <w:r w:rsidR="00321FC5" w:rsidRPr="00A770ED">
                <w:rPr>
                  <w:rStyle w:val="Hyperlink"/>
                  <w:rFonts w:ascii="Arial" w:hAnsi="Arial"/>
                  <w:sz w:val="20"/>
                </w:rPr>
                <w:t>http://www.graduateschool.bham.ac.uk/rsa/earlysub.shtml</w:t>
              </w:r>
            </w:hyperlink>
            <w:r w:rsidR="00321FC5">
              <w:rPr>
                <w:rFonts w:ascii="Arial" w:hAnsi="Arial"/>
                <w:sz w:val="20"/>
              </w:rPr>
              <w:t xml:space="preserve">. </w:t>
            </w:r>
            <w:r w:rsidR="00294CCB">
              <w:rPr>
                <w:rFonts w:ascii="Arial" w:hAnsi="Arial"/>
                <w:sz w:val="20"/>
              </w:rPr>
              <w:t xml:space="preserve"> Supporting </w:t>
            </w:r>
            <w:r w:rsidR="00DC15AA">
              <w:rPr>
                <w:rFonts w:ascii="Arial" w:hAnsi="Arial"/>
                <w:sz w:val="20"/>
              </w:rPr>
              <w:t>evidence/documentation must be attached to the request form.</w:t>
            </w:r>
          </w:p>
        </w:tc>
      </w:tr>
      <w:tr w:rsidR="00746CC8">
        <w:tblPrEx>
          <w:tblCellMar>
            <w:top w:w="0" w:type="dxa"/>
            <w:bottom w:w="0" w:type="dxa"/>
          </w:tblCellMar>
        </w:tblPrEx>
        <w:tc>
          <w:tcPr>
            <w:tcW w:w="675" w:type="dxa"/>
          </w:tcPr>
          <w:p w:rsidR="00746CC8" w:rsidRDefault="00746CC8">
            <w:pPr>
              <w:pStyle w:val="Header"/>
              <w:tabs>
                <w:tab w:val="clear" w:pos="4320"/>
                <w:tab w:val="clear" w:pos="8640"/>
              </w:tabs>
              <w:rPr>
                <w:rFonts w:ascii="Arial" w:hAnsi="Arial"/>
                <w:sz w:val="20"/>
              </w:rPr>
            </w:pPr>
          </w:p>
        </w:tc>
        <w:tc>
          <w:tcPr>
            <w:tcW w:w="8364" w:type="dxa"/>
          </w:tcPr>
          <w:p w:rsidR="00746CC8" w:rsidRDefault="00746CC8">
            <w:pPr>
              <w:rPr>
                <w:rFonts w:ascii="Arial" w:hAnsi="Arial"/>
                <w:sz w:val="20"/>
              </w:rPr>
            </w:pPr>
          </w:p>
        </w:tc>
      </w:tr>
      <w:tr w:rsidR="00746CC8">
        <w:tblPrEx>
          <w:tblCellMar>
            <w:top w:w="0" w:type="dxa"/>
            <w:bottom w:w="0" w:type="dxa"/>
          </w:tblCellMar>
        </w:tblPrEx>
        <w:tc>
          <w:tcPr>
            <w:tcW w:w="675" w:type="dxa"/>
          </w:tcPr>
          <w:p w:rsidR="00746CC8" w:rsidRDefault="00746CC8">
            <w:pPr>
              <w:pStyle w:val="Header"/>
              <w:tabs>
                <w:tab w:val="clear" w:pos="4320"/>
                <w:tab w:val="clear" w:pos="8640"/>
              </w:tabs>
              <w:rPr>
                <w:rFonts w:ascii="Arial" w:hAnsi="Arial"/>
                <w:sz w:val="20"/>
              </w:rPr>
            </w:pPr>
            <w:r>
              <w:rPr>
                <w:rFonts w:ascii="Arial" w:hAnsi="Arial"/>
                <w:sz w:val="20"/>
              </w:rPr>
              <w:t>2.</w:t>
            </w:r>
            <w:r w:rsidR="00DC15AA">
              <w:rPr>
                <w:rFonts w:ascii="Arial" w:hAnsi="Arial"/>
                <w:sz w:val="20"/>
              </w:rPr>
              <w:t>2</w:t>
            </w:r>
          </w:p>
        </w:tc>
        <w:tc>
          <w:tcPr>
            <w:tcW w:w="8364" w:type="dxa"/>
          </w:tcPr>
          <w:p w:rsidR="00746CC8" w:rsidRDefault="00746CC8" w:rsidP="00321FC5">
            <w:pPr>
              <w:rPr>
                <w:rFonts w:ascii="Arial" w:hAnsi="Arial"/>
                <w:sz w:val="20"/>
              </w:rPr>
            </w:pPr>
            <w:r>
              <w:rPr>
                <w:rFonts w:ascii="Arial" w:hAnsi="Arial"/>
                <w:sz w:val="20"/>
              </w:rPr>
              <w:t xml:space="preserve">The </w:t>
            </w:r>
            <w:r w:rsidR="00321FC5">
              <w:rPr>
                <w:rFonts w:ascii="Arial" w:hAnsi="Arial"/>
                <w:sz w:val="20"/>
              </w:rPr>
              <w:t>postgraduate resea</w:t>
            </w:r>
            <w:r w:rsidR="00294CCB">
              <w:rPr>
                <w:rFonts w:ascii="Arial" w:hAnsi="Arial"/>
                <w:sz w:val="20"/>
              </w:rPr>
              <w:t>r</w:t>
            </w:r>
            <w:r w:rsidR="00321FC5">
              <w:rPr>
                <w:rFonts w:ascii="Arial" w:hAnsi="Arial"/>
                <w:sz w:val="20"/>
              </w:rPr>
              <w:t>cher</w:t>
            </w:r>
            <w:r>
              <w:rPr>
                <w:rFonts w:ascii="Arial" w:hAnsi="Arial"/>
                <w:sz w:val="20"/>
              </w:rPr>
              <w:t xml:space="preserve"> should comp</w:t>
            </w:r>
            <w:r w:rsidR="003B4C44">
              <w:rPr>
                <w:rFonts w:ascii="Arial" w:hAnsi="Arial"/>
                <w:sz w:val="20"/>
              </w:rPr>
              <w:t>lete Part A of the request form and then</w:t>
            </w:r>
            <w:r>
              <w:rPr>
                <w:rFonts w:ascii="Arial" w:hAnsi="Arial"/>
                <w:sz w:val="20"/>
              </w:rPr>
              <w:t xml:space="preserve"> pass the </w:t>
            </w:r>
            <w:r w:rsidR="003B4C44">
              <w:rPr>
                <w:rFonts w:ascii="Arial" w:hAnsi="Arial"/>
                <w:sz w:val="20"/>
              </w:rPr>
              <w:t>form to their</w:t>
            </w:r>
            <w:r>
              <w:rPr>
                <w:rFonts w:ascii="Arial" w:hAnsi="Arial"/>
                <w:sz w:val="20"/>
              </w:rPr>
              <w:t xml:space="preserve"> supervisor, who should complete Part B. The Head of School (or nominee) should complete Part C. The completed form should be returned to </w:t>
            </w:r>
            <w:r w:rsidR="00321FC5">
              <w:rPr>
                <w:rFonts w:ascii="Arial" w:hAnsi="Arial"/>
                <w:sz w:val="20"/>
              </w:rPr>
              <w:t xml:space="preserve">the Research Student Administration Team, Registry, </w:t>
            </w:r>
            <w:proofErr w:type="gramStart"/>
            <w:r w:rsidR="00321FC5">
              <w:rPr>
                <w:rFonts w:ascii="Arial" w:hAnsi="Arial"/>
                <w:sz w:val="20"/>
              </w:rPr>
              <w:t>Academic</w:t>
            </w:r>
            <w:proofErr w:type="gramEnd"/>
            <w:r w:rsidR="00321FC5">
              <w:rPr>
                <w:rFonts w:ascii="Arial" w:hAnsi="Arial"/>
                <w:sz w:val="20"/>
              </w:rPr>
              <w:t xml:space="preserve"> Services.</w:t>
            </w:r>
          </w:p>
          <w:p w:rsidR="0003490C" w:rsidRDefault="0003490C" w:rsidP="00321FC5">
            <w:pPr>
              <w:rPr>
                <w:rFonts w:ascii="Arial" w:hAnsi="Arial"/>
                <w:sz w:val="20"/>
              </w:rPr>
            </w:pPr>
          </w:p>
          <w:p w:rsidR="0003490C" w:rsidRDefault="0003490C" w:rsidP="00321FC5">
            <w:pPr>
              <w:rPr>
                <w:rFonts w:ascii="Arial" w:hAnsi="Arial"/>
                <w:sz w:val="20"/>
              </w:rPr>
            </w:pPr>
            <w:r>
              <w:rPr>
                <w:rFonts w:ascii="Arial" w:hAnsi="Arial"/>
                <w:sz w:val="20"/>
              </w:rPr>
              <w:t>Please ensure that all sections have been completed before returning the form, as an incomplete form will be returned, causing delays in the approval process</w:t>
            </w:r>
          </w:p>
        </w:tc>
      </w:tr>
      <w:tr w:rsidR="00746CC8">
        <w:tblPrEx>
          <w:tblCellMar>
            <w:top w:w="0" w:type="dxa"/>
            <w:bottom w:w="0" w:type="dxa"/>
          </w:tblCellMar>
        </w:tblPrEx>
        <w:tc>
          <w:tcPr>
            <w:tcW w:w="675" w:type="dxa"/>
          </w:tcPr>
          <w:p w:rsidR="00746CC8" w:rsidRDefault="00746CC8">
            <w:pPr>
              <w:pStyle w:val="Header"/>
              <w:tabs>
                <w:tab w:val="clear" w:pos="4320"/>
                <w:tab w:val="clear" w:pos="8640"/>
              </w:tabs>
              <w:rPr>
                <w:rFonts w:ascii="Arial" w:hAnsi="Arial"/>
                <w:sz w:val="20"/>
              </w:rPr>
            </w:pPr>
          </w:p>
        </w:tc>
        <w:tc>
          <w:tcPr>
            <w:tcW w:w="8364" w:type="dxa"/>
          </w:tcPr>
          <w:p w:rsidR="00746CC8" w:rsidRDefault="00746CC8">
            <w:pPr>
              <w:rPr>
                <w:rFonts w:ascii="Arial" w:hAnsi="Arial"/>
                <w:sz w:val="20"/>
              </w:rPr>
            </w:pPr>
          </w:p>
        </w:tc>
      </w:tr>
      <w:tr w:rsidR="00746CC8">
        <w:tblPrEx>
          <w:tblCellMar>
            <w:top w:w="0" w:type="dxa"/>
            <w:bottom w:w="0" w:type="dxa"/>
          </w:tblCellMar>
        </w:tblPrEx>
        <w:tc>
          <w:tcPr>
            <w:tcW w:w="675" w:type="dxa"/>
          </w:tcPr>
          <w:p w:rsidR="00746CC8" w:rsidRDefault="00746CC8" w:rsidP="0003490C">
            <w:pPr>
              <w:pStyle w:val="Header"/>
              <w:tabs>
                <w:tab w:val="clear" w:pos="4320"/>
                <w:tab w:val="clear" w:pos="8640"/>
              </w:tabs>
              <w:rPr>
                <w:rFonts w:ascii="Arial" w:hAnsi="Arial"/>
                <w:sz w:val="20"/>
              </w:rPr>
            </w:pPr>
            <w:r>
              <w:rPr>
                <w:rFonts w:ascii="Arial" w:hAnsi="Arial"/>
                <w:sz w:val="20"/>
              </w:rPr>
              <w:t>2.</w:t>
            </w:r>
            <w:r w:rsidR="0003490C">
              <w:rPr>
                <w:rFonts w:ascii="Arial" w:hAnsi="Arial"/>
                <w:sz w:val="20"/>
              </w:rPr>
              <w:t>3</w:t>
            </w:r>
          </w:p>
        </w:tc>
        <w:tc>
          <w:tcPr>
            <w:tcW w:w="8364" w:type="dxa"/>
          </w:tcPr>
          <w:p w:rsidR="00746CC8" w:rsidRDefault="00321FC5" w:rsidP="0079457A">
            <w:pPr>
              <w:rPr>
                <w:rFonts w:ascii="Arial" w:hAnsi="Arial"/>
                <w:sz w:val="20"/>
              </w:rPr>
            </w:pPr>
            <w:r>
              <w:rPr>
                <w:rFonts w:ascii="Arial" w:hAnsi="Arial"/>
                <w:sz w:val="20"/>
              </w:rPr>
              <w:t>Postgraduate researchers</w:t>
            </w:r>
            <w:r w:rsidR="00746CC8">
              <w:rPr>
                <w:rFonts w:ascii="Arial" w:hAnsi="Arial"/>
                <w:sz w:val="20"/>
              </w:rPr>
              <w:t xml:space="preserve"> a</w:t>
            </w:r>
            <w:r w:rsidR="0079457A">
              <w:rPr>
                <w:rFonts w:ascii="Arial" w:hAnsi="Arial"/>
                <w:sz w:val="20"/>
              </w:rPr>
              <w:t>nd supervisors will be notified by e-mail</w:t>
            </w:r>
            <w:r w:rsidR="00746CC8">
              <w:rPr>
                <w:rFonts w:ascii="Arial" w:hAnsi="Arial"/>
                <w:sz w:val="20"/>
              </w:rPr>
              <w:t xml:space="preserve"> of the result of </w:t>
            </w:r>
            <w:r w:rsidR="00DC15AA">
              <w:rPr>
                <w:rFonts w:ascii="Arial" w:hAnsi="Arial"/>
                <w:sz w:val="20"/>
              </w:rPr>
              <w:t xml:space="preserve">the request. </w:t>
            </w:r>
          </w:p>
          <w:p w:rsidR="001D64F3" w:rsidRDefault="001D64F3" w:rsidP="0079457A">
            <w:pPr>
              <w:rPr>
                <w:rFonts w:ascii="Arial" w:hAnsi="Arial"/>
                <w:sz w:val="20"/>
              </w:rPr>
            </w:pPr>
          </w:p>
        </w:tc>
      </w:tr>
    </w:tbl>
    <w:p w:rsidR="00886A5E" w:rsidRPr="00886A5E" w:rsidRDefault="00321FC5" w:rsidP="001D64F3">
      <w:pPr>
        <w:rPr>
          <w:rFonts w:ascii="Arial" w:hAnsi="Arial" w:cs="Arial"/>
          <w:sz w:val="20"/>
          <w:lang w:val="en-US"/>
        </w:rPr>
      </w:pPr>
      <w:r>
        <w:rPr>
          <w:rFonts w:ascii="Arial" w:hAnsi="Arial"/>
          <w:sz w:val="20"/>
        </w:rPr>
        <w:t>2.</w:t>
      </w:r>
      <w:r w:rsidR="0003490C">
        <w:rPr>
          <w:rFonts w:ascii="Arial" w:hAnsi="Arial"/>
          <w:sz w:val="20"/>
        </w:rPr>
        <w:t>4</w:t>
      </w:r>
      <w:r>
        <w:rPr>
          <w:rFonts w:ascii="Arial" w:hAnsi="Arial"/>
          <w:sz w:val="20"/>
        </w:rPr>
        <w:tab/>
        <w:t xml:space="preserve">Early submission does not result in a reduction in </w:t>
      </w:r>
      <w:r w:rsidR="0003490C">
        <w:rPr>
          <w:rFonts w:ascii="Arial" w:hAnsi="Arial"/>
          <w:sz w:val="20"/>
        </w:rPr>
        <w:t>the</w:t>
      </w:r>
      <w:r>
        <w:rPr>
          <w:rFonts w:ascii="Arial" w:hAnsi="Arial"/>
          <w:sz w:val="20"/>
        </w:rPr>
        <w:t xml:space="preserve"> minimum period of registration and </w:t>
      </w:r>
      <w:r w:rsidR="002A2955">
        <w:rPr>
          <w:rFonts w:ascii="Arial" w:hAnsi="Arial"/>
          <w:sz w:val="20"/>
        </w:rPr>
        <w:br/>
      </w:r>
      <w:r w:rsidR="002A2955">
        <w:rPr>
          <w:rFonts w:ascii="Arial" w:hAnsi="Arial"/>
          <w:sz w:val="20"/>
        </w:rPr>
        <w:tab/>
        <w:t xml:space="preserve">postgraduate researchers </w:t>
      </w:r>
      <w:r>
        <w:rPr>
          <w:rFonts w:ascii="Arial" w:hAnsi="Arial"/>
          <w:sz w:val="20"/>
        </w:rPr>
        <w:t>will remain normally registered until submi</w:t>
      </w:r>
      <w:r w:rsidR="002A2955">
        <w:rPr>
          <w:rFonts w:ascii="Arial" w:hAnsi="Arial"/>
          <w:sz w:val="20"/>
        </w:rPr>
        <w:t>ssion of</w:t>
      </w:r>
      <w:r>
        <w:rPr>
          <w:rFonts w:ascii="Arial" w:hAnsi="Arial"/>
          <w:sz w:val="20"/>
        </w:rPr>
        <w:t xml:space="preserve"> </w:t>
      </w:r>
      <w:r w:rsidR="002A2955">
        <w:rPr>
          <w:rFonts w:ascii="Arial" w:hAnsi="Arial"/>
          <w:sz w:val="20"/>
        </w:rPr>
        <w:t>the</w:t>
      </w:r>
      <w:r>
        <w:rPr>
          <w:rFonts w:ascii="Arial" w:hAnsi="Arial"/>
          <w:sz w:val="20"/>
        </w:rPr>
        <w:t xml:space="preserve"> thesis.  </w:t>
      </w:r>
      <w:r w:rsidR="002A2955">
        <w:rPr>
          <w:rFonts w:ascii="Arial" w:hAnsi="Arial"/>
          <w:sz w:val="20"/>
        </w:rPr>
        <w:br/>
      </w:r>
      <w:r w:rsidR="002A2955">
        <w:rPr>
          <w:rFonts w:ascii="Arial" w:hAnsi="Arial"/>
          <w:sz w:val="20"/>
        </w:rPr>
        <w:tab/>
      </w:r>
      <w:r>
        <w:rPr>
          <w:rFonts w:ascii="Arial" w:hAnsi="Arial"/>
          <w:sz w:val="20"/>
        </w:rPr>
        <w:t xml:space="preserve">At that point </w:t>
      </w:r>
      <w:r w:rsidR="002A2955">
        <w:rPr>
          <w:rFonts w:ascii="Arial" w:hAnsi="Arial"/>
          <w:sz w:val="20"/>
        </w:rPr>
        <w:t xml:space="preserve">they will be transferred to thesis awaited status and their </w:t>
      </w:r>
      <w:r>
        <w:rPr>
          <w:rFonts w:ascii="Arial" w:hAnsi="Arial"/>
          <w:sz w:val="20"/>
        </w:rPr>
        <w:t xml:space="preserve">tuition fee liability will be </w:t>
      </w:r>
      <w:r w:rsidR="002A2955">
        <w:rPr>
          <w:rFonts w:ascii="Arial" w:hAnsi="Arial"/>
          <w:sz w:val="20"/>
        </w:rPr>
        <w:tab/>
      </w:r>
      <w:r>
        <w:rPr>
          <w:rFonts w:ascii="Arial" w:hAnsi="Arial"/>
          <w:sz w:val="20"/>
        </w:rPr>
        <w:t>reviewed.</w:t>
      </w:r>
      <w:r w:rsidR="0003490C">
        <w:rPr>
          <w:rFonts w:ascii="Arial" w:hAnsi="Arial"/>
          <w:sz w:val="20"/>
        </w:rPr>
        <w:t xml:space="preserve">   For information on a reduction in the minimum period of study </w:t>
      </w:r>
      <w:r w:rsidR="0003490C" w:rsidRPr="005D5987">
        <w:rPr>
          <w:rFonts w:ascii="Arial" w:hAnsi="Arial"/>
          <w:sz w:val="20"/>
        </w:rPr>
        <w:t>see</w:t>
      </w:r>
      <w:r w:rsidR="00270F6B">
        <w:rPr>
          <w:rFonts w:ascii="Arial" w:hAnsi="Arial"/>
          <w:b/>
          <w:sz w:val="20"/>
        </w:rPr>
        <w:t xml:space="preserve"> </w:t>
      </w:r>
      <w:r w:rsidR="00270F6B" w:rsidRPr="00886A5E">
        <w:rPr>
          <w:rFonts w:ascii="Arial" w:hAnsi="Arial"/>
          <w:sz w:val="20"/>
        </w:rPr>
        <w:t xml:space="preserve">Reduction in the </w:t>
      </w:r>
      <w:r w:rsidR="00270F6B" w:rsidRPr="00886A5E">
        <w:rPr>
          <w:rFonts w:ascii="Arial" w:hAnsi="Arial"/>
          <w:sz w:val="20"/>
        </w:rPr>
        <w:tab/>
        <w:t>Period of Registration</w:t>
      </w:r>
      <w:r w:rsidR="00886A5E">
        <w:rPr>
          <w:rFonts w:ascii="Arial" w:hAnsi="Arial"/>
          <w:sz w:val="20"/>
        </w:rPr>
        <w:t xml:space="preserve"> </w:t>
      </w:r>
      <w:hyperlink r:id="rId10" w:history="1">
        <w:r w:rsidR="005D5987" w:rsidRPr="00E41F47">
          <w:rPr>
            <w:rStyle w:val="Hyperlink"/>
            <w:rFonts w:ascii="Arial" w:hAnsi="Arial"/>
            <w:sz w:val="20"/>
          </w:rPr>
          <w:t>http://www.graduateschool.bham.ac.uk/rsa/reduction.shtml</w:t>
        </w:r>
      </w:hyperlink>
      <w:r w:rsidR="005D5987">
        <w:rPr>
          <w:rFonts w:ascii="Arial" w:hAnsi="Arial"/>
          <w:sz w:val="20"/>
        </w:rPr>
        <w:t xml:space="preserve">. </w:t>
      </w:r>
    </w:p>
    <w:p w:rsidR="0003490C" w:rsidRDefault="0003490C">
      <w:pPr>
        <w:rPr>
          <w:rFonts w:ascii="Arial" w:hAnsi="Arial"/>
          <w:sz w:val="20"/>
        </w:rPr>
      </w:pPr>
    </w:p>
    <w:p w:rsidR="0003490C" w:rsidRDefault="0003490C">
      <w:pPr>
        <w:rPr>
          <w:rFonts w:ascii="Arial" w:hAnsi="Arial"/>
          <w:sz w:val="20"/>
        </w:rPr>
      </w:pPr>
      <w:r>
        <w:rPr>
          <w:rFonts w:ascii="Arial" w:hAnsi="Arial"/>
          <w:sz w:val="20"/>
        </w:rPr>
        <w:t>2.5</w:t>
      </w:r>
      <w:r>
        <w:rPr>
          <w:rFonts w:ascii="Arial" w:hAnsi="Arial"/>
          <w:sz w:val="20"/>
        </w:rPr>
        <w:tab/>
        <w:t xml:space="preserve">If you are a </w:t>
      </w:r>
      <w:r w:rsidR="00270F6B">
        <w:rPr>
          <w:rFonts w:ascii="Arial" w:hAnsi="Arial"/>
          <w:sz w:val="20"/>
        </w:rPr>
        <w:t>sponsored postgraduate researcher</w:t>
      </w:r>
      <w:r w:rsidR="00294CCB">
        <w:rPr>
          <w:rFonts w:ascii="Arial" w:hAnsi="Arial"/>
          <w:sz w:val="20"/>
        </w:rPr>
        <w:t xml:space="preserve">, you </w:t>
      </w:r>
      <w:r>
        <w:rPr>
          <w:rFonts w:ascii="Arial" w:hAnsi="Arial"/>
          <w:sz w:val="20"/>
        </w:rPr>
        <w:t xml:space="preserve">should be aware that your stipend payments </w:t>
      </w:r>
      <w:r w:rsidR="00270F6B">
        <w:rPr>
          <w:rFonts w:ascii="Arial" w:hAnsi="Arial"/>
          <w:sz w:val="20"/>
        </w:rPr>
        <w:tab/>
      </w:r>
      <w:r w:rsidR="00294CCB">
        <w:rPr>
          <w:rFonts w:ascii="Arial" w:hAnsi="Arial"/>
          <w:sz w:val="20"/>
        </w:rPr>
        <w:t xml:space="preserve">may </w:t>
      </w:r>
      <w:r>
        <w:rPr>
          <w:rFonts w:ascii="Arial" w:hAnsi="Arial"/>
          <w:sz w:val="20"/>
        </w:rPr>
        <w:t xml:space="preserve">stop at the end of the month in which </w:t>
      </w:r>
      <w:r w:rsidR="00294CCB">
        <w:rPr>
          <w:rFonts w:ascii="Arial" w:hAnsi="Arial"/>
          <w:sz w:val="20"/>
        </w:rPr>
        <w:t xml:space="preserve">you </w:t>
      </w:r>
      <w:r>
        <w:rPr>
          <w:rFonts w:ascii="Arial" w:hAnsi="Arial"/>
          <w:sz w:val="20"/>
        </w:rPr>
        <w:t>submit your thesis.</w:t>
      </w:r>
      <w:r w:rsidR="00294CCB">
        <w:rPr>
          <w:rFonts w:ascii="Arial" w:hAnsi="Arial"/>
          <w:sz w:val="20"/>
        </w:rPr>
        <w:t xml:space="preserve">  You are advised to contact your </w:t>
      </w:r>
      <w:r w:rsidR="00270F6B">
        <w:rPr>
          <w:rFonts w:ascii="Arial" w:hAnsi="Arial"/>
          <w:sz w:val="20"/>
        </w:rPr>
        <w:tab/>
      </w:r>
      <w:r w:rsidR="00294CCB">
        <w:rPr>
          <w:rFonts w:ascii="Arial" w:hAnsi="Arial"/>
          <w:sz w:val="20"/>
        </w:rPr>
        <w:t>sponsor to discuss this before submitting your request.</w:t>
      </w:r>
      <w:r w:rsidR="007A6537">
        <w:rPr>
          <w:rFonts w:ascii="Arial" w:hAnsi="Arial"/>
          <w:sz w:val="20"/>
        </w:rPr>
        <w:t xml:space="preserve">  </w:t>
      </w:r>
      <w:r w:rsidR="00294CCB">
        <w:rPr>
          <w:rFonts w:ascii="Arial" w:hAnsi="Arial"/>
          <w:sz w:val="20"/>
        </w:rPr>
        <w:br/>
      </w:r>
      <w:r w:rsidR="00294CCB">
        <w:rPr>
          <w:rFonts w:ascii="Arial" w:hAnsi="Arial"/>
          <w:sz w:val="20"/>
        </w:rPr>
        <w:tab/>
        <w:t xml:space="preserve">Research Council funded PGRs should contact the Research Student Administration Officer - </w:t>
      </w:r>
      <w:r w:rsidR="00294CCB">
        <w:rPr>
          <w:rFonts w:ascii="Arial" w:hAnsi="Arial" w:cs="Arial"/>
          <w:sz w:val="20"/>
        </w:rPr>
        <w:t xml:space="preserve">0121 </w:t>
      </w:r>
      <w:r w:rsidR="00294CCB">
        <w:rPr>
          <w:rFonts w:ascii="Arial" w:hAnsi="Arial" w:cs="Arial"/>
          <w:sz w:val="20"/>
        </w:rPr>
        <w:tab/>
        <w:t xml:space="preserve">414 2898 or via </w:t>
      </w:r>
      <w:r w:rsidR="0079457A">
        <w:rPr>
          <w:rFonts w:ascii="Arial" w:hAnsi="Arial" w:cs="Arial"/>
          <w:sz w:val="20"/>
        </w:rPr>
        <w:t xml:space="preserve">e-mail to </w:t>
      </w:r>
      <w:hyperlink r:id="rId11" w:history="1">
        <w:r w:rsidR="00294CCB" w:rsidRPr="00C535F4">
          <w:rPr>
            <w:rStyle w:val="Hyperlink"/>
            <w:rFonts w:ascii="Arial" w:hAnsi="Arial" w:cs="Arial"/>
            <w:sz w:val="20"/>
          </w:rPr>
          <w:t>graduateschool@contacts.bham.ac.uk</w:t>
        </w:r>
      </w:hyperlink>
      <w:r w:rsidR="00294CCB">
        <w:rPr>
          <w:rFonts w:ascii="Arial" w:hAnsi="Arial" w:cs="Arial"/>
          <w:sz w:val="20"/>
        </w:rPr>
        <w:t xml:space="preserve">.   </w:t>
      </w:r>
    </w:p>
    <w:sectPr w:rsidR="0003490C" w:rsidSect="0003490C">
      <w:headerReference w:type="default" r:id="rId12"/>
      <w:footerReference w:type="even" r:id="rId13"/>
      <w:footerReference w:type="default" r:id="rId14"/>
      <w:pgSz w:w="11906" w:h="16838"/>
      <w:pgMar w:top="1440"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748" w:rsidRDefault="007D7748">
      <w:r>
        <w:separator/>
      </w:r>
    </w:p>
  </w:endnote>
  <w:endnote w:type="continuationSeparator" w:id="0">
    <w:p w:rsidR="007D7748" w:rsidRDefault="007D7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odoni Bk BT">
    <w:altName w:val="Bodoni MT"/>
    <w:charset w:val="00"/>
    <w:family w:val="roman"/>
    <w:pitch w:val="variable"/>
    <w:sig w:usb0="00000087" w:usb1="00000000" w:usb2="00000000" w:usb3="00000000" w:csb0="0000001B" w:csb1="00000000"/>
  </w:font>
  <w:font w:name="Bodoni Bd BT">
    <w:altName w:val="Times New Roman"/>
    <w:charset w:val="00"/>
    <w:family w:val="roman"/>
    <w:pitch w:val="variable"/>
    <w:sig w:usb0="00000087" w:usb1="00000000" w:usb2="00000000" w:usb3="00000000" w:csb0="0000001B" w:csb1="00000000"/>
  </w:font>
  <w:font w:name="StoneSerif">
    <w:altName w:val="Goudy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5AA" w:rsidRDefault="00DC15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15AA" w:rsidRDefault="00DC15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5AA" w:rsidRDefault="00DC15AA">
    <w:pPr>
      <w:pStyle w:val="Footer"/>
      <w:framePr w:wrap="around" w:vAnchor="text" w:hAnchor="margin" w:xAlign="center" w:y="1"/>
      <w:rPr>
        <w:rStyle w:val="PageNumber"/>
      </w:rPr>
    </w:pPr>
  </w:p>
  <w:p w:rsidR="00DC15AA" w:rsidRDefault="001D64F3">
    <w:pPr>
      <w:pStyle w:val="Footer"/>
      <w:rPr>
        <w:sz w:val="16"/>
      </w:rPr>
    </w:pPr>
    <w:r>
      <w:rPr>
        <w:rFonts w:ascii="Arial" w:hAnsi="Arial"/>
        <w:i/>
        <w:sz w:val="20"/>
      </w:rPr>
      <w:t xml:space="preserve">Note: </w:t>
    </w:r>
    <w:r>
      <w:rPr>
        <w:rFonts w:ascii="Arial" w:hAnsi="Arial"/>
        <w:sz w:val="20"/>
      </w:rPr>
      <w:t>This document is published for information only and does not form part of any contract; the University reserves the right to make alterations without notice</w:t>
    </w:r>
    <w:r w:rsidR="003F77F1">
      <w:rPr>
        <w:rFonts w:ascii="Arial" w:hAnsi="Arial"/>
        <w:sz w:val="20"/>
      </w:rPr>
      <w:tab/>
    </w:r>
    <w:r w:rsidR="0079457A">
      <w:rPr>
        <w:rFonts w:ascii="Arial" w:hAnsi="Arial"/>
        <w:sz w:val="20"/>
      </w:rPr>
      <w:t>February</w:t>
    </w:r>
    <w:r w:rsidR="003F77F1">
      <w:rPr>
        <w:rFonts w:ascii="Arial" w:hAnsi="Arial"/>
        <w:sz w:val="20"/>
      </w:rPr>
      <w:t xml:space="preserve"> 201</w:t>
    </w:r>
    <w:r w:rsidR="0079457A">
      <w:rPr>
        <w:rFonts w:ascii="Arial" w:hAnsi="Arial"/>
        <w:sz w:val="20"/>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748" w:rsidRDefault="007D7748">
      <w:r>
        <w:separator/>
      </w:r>
    </w:p>
  </w:footnote>
  <w:footnote w:type="continuationSeparator" w:id="0">
    <w:p w:rsidR="007D7748" w:rsidRDefault="007D7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FC5" w:rsidRDefault="00DC15AA" w:rsidP="00DC15AA">
    <w:pPr>
      <w:jc w:val="center"/>
      <w:outlineLvl w:val="0"/>
      <w:rPr>
        <w:rFonts w:ascii="Arial" w:hAnsi="Arial"/>
        <w:sz w:val="20"/>
      </w:rPr>
    </w:pPr>
    <w:r>
      <w:rPr>
        <w:rFonts w:ascii="Arial" w:hAnsi="Arial"/>
        <w:sz w:val="20"/>
      </w:rPr>
      <w:t>The University of Birmingham</w:t>
    </w:r>
  </w:p>
  <w:p w:rsidR="00DC15AA" w:rsidRDefault="00321FC5" w:rsidP="00DC15AA">
    <w:pPr>
      <w:jc w:val="center"/>
      <w:outlineLvl w:val="0"/>
      <w:rPr>
        <w:rFonts w:ascii="Arial" w:hAnsi="Arial"/>
        <w:sz w:val="20"/>
      </w:rPr>
    </w:pPr>
    <w:r>
      <w:rPr>
        <w:rFonts w:ascii="Arial" w:hAnsi="Arial"/>
        <w:sz w:val="20"/>
      </w:rPr>
      <w:t>Registry – Academic Services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E49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CF075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13BA07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14746A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5243E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7747A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1C871F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26B120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363C51F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3A7D1E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46557F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4D462B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523A2F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523B64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619731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69407D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70E430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77ED01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7A3940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7EC5234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5"/>
  </w:num>
  <w:num w:numId="3">
    <w:abstractNumId w:val="13"/>
  </w:num>
  <w:num w:numId="4">
    <w:abstractNumId w:val="1"/>
  </w:num>
  <w:num w:numId="5">
    <w:abstractNumId w:val="19"/>
  </w:num>
  <w:num w:numId="6">
    <w:abstractNumId w:val="10"/>
  </w:num>
  <w:num w:numId="7">
    <w:abstractNumId w:val="12"/>
  </w:num>
  <w:num w:numId="8">
    <w:abstractNumId w:val="14"/>
  </w:num>
  <w:num w:numId="9">
    <w:abstractNumId w:val="11"/>
  </w:num>
  <w:num w:numId="10">
    <w:abstractNumId w:val="9"/>
  </w:num>
  <w:num w:numId="11">
    <w:abstractNumId w:val="16"/>
  </w:num>
  <w:num w:numId="12">
    <w:abstractNumId w:val="4"/>
  </w:num>
  <w:num w:numId="13">
    <w:abstractNumId w:val="3"/>
  </w:num>
  <w:num w:numId="14">
    <w:abstractNumId w:val="17"/>
  </w:num>
  <w:num w:numId="15">
    <w:abstractNumId w:val="7"/>
  </w:num>
  <w:num w:numId="16">
    <w:abstractNumId w:val="5"/>
  </w:num>
  <w:num w:numId="17">
    <w:abstractNumId w:val="2"/>
  </w:num>
  <w:num w:numId="18">
    <w:abstractNumId w:val="8"/>
  </w:num>
  <w:num w:numId="19">
    <w:abstractNumId w:val="18"/>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F286E"/>
    <w:rsid w:val="0003490C"/>
    <w:rsid w:val="001D64F3"/>
    <w:rsid w:val="002135DD"/>
    <w:rsid w:val="00270F6B"/>
    <w:rsid w:val="00294CCB"/>
    <w:rsid w:val="002A2955"/>
    <w:rsid w:val="00321FC5"/>
    <w:rsid w:val="00353EE5"/>
    <w:rsid w:val="003B4C44"/>
    <w:rsid w:val="003F77F1"/>
    <w:rsid w:val="004B2BBA"/>
    <w:rsid w:val="005D5987"/>
    <w:rsid w:val="006F1426"/>
    <w:rsid w:val="00725EB2"/>
    <w:rsid w:val="00746CC8"/>
    <w:rsid w:val="0079457A"/>
    <w:rsid w:val="007A6537"/>
    <w:rsid w:val="007D7748"/>
    <w:rsid w:val="007F0A1D"/>
    <w:rsid w:val="007F286E"/>
    <w:rsid w:val="00886A5E"/>
    <w:rsid w:val="008D1E46"/>
    <w:rsid w:val="008D6BE7"/>
    <w:rsid w:val="00A76F7D"/>
    <w:rsid w:val="00DB509A"/>
    <w:rsid w:val="00DC15AA"/>
    <w:rsid w:val="00E74AB5"/>
    <w:rsid w:val="00EA5145"/>
    <w:rsid w:val="00EB0BDA"/>
    <w:rsid w:val="00EC5720"/>
    <w:rsid w:val="00EE2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doni Bk BT" w:hAnsi="Bodoni Bk BT"/>
      <w:sz w:val="24"/>
      <w:lang w:val="en-GB" w:eastAsia="en-GB"/>
    </w:rPr>
  </w:style>
  <w:style w:type="paragraph" w:styleId="Heading1">
    <w:name w:val="heading 1"/>
    <w:basedOn w:val="Normal"/>
    <w:next w:val="Normal"/>
    <w:qFormat/>
    <w:pPr>
      <w:keepNext/>
      <w:jc w:val="center"/>
      <w:outlineLvl w:val="0"/>
    </w:pPr>
    <w:rPr>
      <w:rFonts w:ascii="Bodoni Bd BT" w:hAnsi="Bodoni Bd BT"/>
      <w:b/>
    </w:rPr>
  </w:style>
  <w:style w:type="paragraph" w:styleId="Heading2">
    <w:name w:val="heading 2"/>
    <w:basedOn w:val="Normal"/>
    <w:next w:val="Normal"/>
    <w:qFormat/>
    <w:pPr>
      <w:keepNext/>
      <w:outlineLvl w:val="1"/>
    </w:pPr>
    <w:rPr>
      <w:rFonts w:ascii="Bodoni Bd BT" w:hAnsi="Bodoni Bd BT"/>
      <w:b/>
    </w:rPr>
  </w:style>
  <w:style w:type="paragraph" w:styleId="Heading3">
    <w:name w:val="heading 3"/>
    <w:basedOn w:val="Normal"/>
    <w:next w:val="Normal"/>
    <w:qFormat/>
    <w:pPr>
      <w:keepNext/>
      <w:outlineLvl w:val="2"/>
    </w:pPr>
    <w:rPr>
      <w:rFonts w:ascii="StoneSerif" w:hAnsi="StoneSerif"/>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2135DD"/>
    <w:rPr>
      <w:rFonts w:ascii="Tahoma" w:hAnsi="Tahoma" w:cs="Tahoma"/>
      <w:sz w:val="16"/>
      <w:szCs w:val="16"/>
    </w:rPr>
  </w:style>
  <w:style w:type="character" w:customStyle="1" w:styleId="FooterChar">
    <w:name w:val="Footer Char"/>
    <w:basedOn w:val="DefaultParagraphFont"/>
    <w:link w:val="Footer"/>
    <w:uiPriority w:val="99"/>
    <w:rsid w:val="001D64F3"/>
    <w:rPr>
      <w:rFonts w:ascii="Bodoni Bk BT" w:hAnsi="Bodoni Bk BT"/>
      <w:sz w:val="24"/>
    </w:rPr>
  </w:style>
</w:styles>
</file>

<file path=word/webSettings.xml><?xml version="1.0" encoding="utf-8"?>
<w:webSettings xmlns:r="http://schemas.openxmlformats.org/officeDocument/2006/relationships" xmlns:w="http://schemas.openxmlformats.org/wordprocessingml/2006/main">
  <w:divs>
    <w:div w:id="1265192215">
      <w:bodyDiv w:val="1"/>
      <w:marLeft w:val="0"/>
      <w:marRight w:val="0"/>
      <w:marTop w:val="0"/>
      <w:marBottom w:val="0"/>
      <w:divBdr>
        <w:top w:val="none" w:sz="0" w:space="0" w:color="auto"/>
        <w:left w:val="none" w:sz="0" w:space="0" w:color="auto"/>
        <w:bottom w:val="none" w:sz="0" w:space="0" w:color="auto"/>
        <w:right w:val="none" w:sz="0" w:space="0" w:color="auto"/>
      </w:divBdr>
    </w:div>
    <w:div w:id="157909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aduateschool.bham.ac.uk/rsa/reduction.s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irmingham.ac.uk/Documents/university/legal/regulations-part6.pdf"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aduateschool@contacts.bham.ac.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raduateschool.bham.ac.uk/rsa/reduction.shtml" TargetMode="External"/><Relationship Id="rId4" Type="http://schemas.openxmlformats.org/officeDocument/2006/relationships/webSettings" Target="webSettings.xml"/><Relationship Id="rId9" Type="http://schemas.openxmlformats.org/officeDocument/2006/relationships/hyperlink" Target="http://www.graduateschool.bham.ac.uk/rsa/earlysub.s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The University of Birmingham</vt:lpstr>
    </vt:vector>
  </TitlesOfParts>
  <Company>The University of Birmingham</Company>
  <LinksUpToDate>false</LinksUpToDate>
  <CharactersWithSpaces>3927</CharactersWithSpaces>
  <SharedDoc>false</SharedDoc>
  <HLinks>
    <vt:vector size="30" baseType="variant">
      <vt:variant>
        <vt:i4>6357060</vt:i4>
      </vt:variant>
      <vt:variant>
        <vt:i4>12</vt:i4>
      </vt:variant>
      <vt:variant>
        <vt:i4>0</vt:i4>
      </vt:variant>
      <vt:variant>
        <vt:i4>5</vt:i4>
      </vt:variant>
      <vt:variant>
        <vt:lpwstr>mailto:graduateschool@contacts.bham.ac.uk</vt:lpwstr>
      </vt:variant>
      <vt:variant>
        <vt:lpwstr/>
      </vt:variant>
      <vt:variant>
        <vt:i4>6094922</vt:i4>
      </vt:variant>
      <vt:variant>
        <vt:i4>9</vt:i4>
      </vt:variant>
      <vt:variant>
        <vt:i4>0</vt:i4>
      </vt:variant>
      <vt:variant>
        <vt:i4>5</vt:i4>
      </vt:variant>
      <vt:variant>
        <vt:lpwstr>http://www.graduateschool.bham.ac.uk/rsa/reduction.shtml</vt:lpwstr>
      </vt:variant>
      <vt:variant>
        <vt:lpwstr/>
      </vt:variant>
      <vt:variant>
        <vt:i4>7602289</vt:i4>
      </vt:variant>
      <vt:variant>
        <vt:i4>6</vt:i4>
      </vt:variant>
      <vt:variant>
        <vt:i4>0</vt:i4>
      </vt:variant>
      <vt:variant>
        <vt:i4>5</vt:i4>
      </vt:variant>
      <vt:variant>
        <vt:lpwstr>http://www.graduateschool.bham.ac.uk/rsa/earlysub.shtml</vt:lpwstr>
      </vt:variant>
      <vt:variant>
        <vt:lpwstr/>
      </vt:variant>
      <vt:variant>
        <vt:i4>6094922</vt:i4>
      </vt:variant>
      <vt:variant>
        <vt:i4>3</vt:i4>
      </vt:variant>
      <vt:variant>
        <vt:i4>0</vt:i4>
      </vt:variant>
      <vt:variant>
        <vt:i4>5</vt:i4>
      </vt:variant>
      <vt:variant>
        <vt:lpwstr>http://www.graduateschool.bham.ac.uk/rsa/reduction.shtml</vt:lpwstr>
      </vt:variant>
      <vt:variant>
        <vt:lpwstr/>
      </vt:variant>
      <vt:variant>
        <vt:i4>4784146</vt:i4>
      </vt:variant>
      <vt:variant>
        <vt:i4>0</vt:i4>
      </vt:variant>
      <vt:variant>
        <vt:i4>0</vt:i4>
      </vt:variant>
      <vt:variant>
        <vt:i4>5</vt:i4>
      </vt:variant>
      <vt:variant>
        <vt:lpwstr>http://www.birmingham.ac.uk/Documents/university/legal/regulations-part6.pdf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Birmingham</dc:title>
  <dc:subject/>
  <dc:creator>5706</dc:creator>
  <cp:keywords/>
  <dc:description/>
  <cp:lastModifiedBy>Kimberley Loynes</cp:lastModifiedBy>
  <cp:revision>2</cp:revision>
  <cp:lastPrinted>2009-01-06T12:01:00Z</cp:lastPrinted>
  <dcterms:created xsi:type="dcterms:W3CDTF">2012-08-10T17:12:00Z</dcterms:created>
  <dcterms:modified xsi:type="dcterms:W3CDTF">2012-08-10T17:12:00Z</dcterms:modified>
</cp:coreProperties>
</file>